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EB5AD">
      <w:pPr>
        <w:autoSpaceDE w:val="0"/>
        <w:autoSpaceDN w:val="0"/>
        <w:adjustRightInd w:val="0"/>
        <w:spacing w:line="360" w:lineRule="auto"/>
        <w:ind w:firstLine="0" w:firstLineChars="0"/>
        <w:jc w:val="center"/>
        <w:rPr>
          <w:rFonts w:ascii="宋体" w:hAnsi="宋体" w:cs="宋体"/>
          <w:b/>
          <w:color w:val="000000"/>
          <w:kern w:val="0"/>
          <w:sz w:val="32"/>
          <w:szCs w:val="32"/>
        </w:rPr>
      </w:pPr>
      <w:r>
        <w:rPr>
          <w:rFonts w:hint="eastAsia" w:ascii="宋体" w:hAnsi="宋体" w:cs="宋体"/>
          <w:b/>
          <w:color w:val="000000"/>
          <w:kern w:val="0"/>
          <w:sz w:val="32"/>
          <w:szCs w:val="32"/>
        </w:rPr>
        <w:t>工程清单编制说明</w:t>
      </w:r>
    </w:p>
    <w:p w14:paraId="1563AD12">
      <w:pPr>
        <w:tabs>
          <w:tab w:val="center" w:pos="4733"/>
        </w:tabs>
        <w:spacing w:line="360" w:lineRule="auto"/>
        <w:ind w:firstLine="0" w:firstLineChars="0"/>
        <w:rPr>
          <w:rFonts w:hint="eastAsia" w:ascii="宋体" w:hAnsi="宋体"/>
          <w:b/>
          <w:sz w:val="28"/>
          <w:szCs w:val="28"/>
        </w:rPr>
      </w:pPr>
      <w:r>
        <w:rPr>
          <w:rFonts w:hint="eastAsia" w:ascii="宋体" w:hAnsi="宋体"/>
          <w:b/>
          <w:sz w:val="28"/>
          <w:szCs w:val="28"/>
        </w:rPr>
        <w:t>一、工程概况</w:t>
      </w:r>
      <w:r>
        <w:rPr>
          <w:rFonts w:hint="eastAsia" w:ascii="宋体" w:hAnsi="宋体"/>
          <w:b/>
          <w:sz w:val="28"/>
          <w:szCs w:val="28"/>
        </w:rPr>
        <w:tab/>
      </w:r>
    </w:p>
    <w:p w14:paraId="3E4D942F">
      <w:pPr>
        <w:spacing w:line="360" w:lineRule="auto"/>
        <w:ind w:right="-334" w:rightChars="-159" w:firstLine="420"/>
        <w:rPr>
          <w:rFonts w:hint="eastAsia" w:ascii="宋体" w:hAnsi="宋体"/>
          <w:szCs w:val="21"/>
        </w:rPr>
      </w:pPr>
      <w:r>
        <w:rPr>
          <w:rFonts w:hint="eastAsia" w:ascii="宋体" w:hAnsi="宋体"/>
          <w:szCs w:val="21"/>
        </w:rPr>
        <w:t>1、工程名称：浙江省十里坪监狱第一关押点会见通道改造</w:t>
      </w:r>
    </w:p>
    <w:p w14:paraId="66F55816">
      <w:pPr>
        <w:spacing w:line="360" w:lineRule="auto"/>
        <w:ind w:right="-334" w:rightChars="-159" w:firstLine="420"/>
        <w:rPr>
          <w:rFonts w:hint="default" w:ascii="宋体" w:hAnsi="宋体" w:eastAsia="宋体"/>
          <w:szCs w:val="21"/>
          <w:lang w:val="en-US" w:eastAsia="zh-CN"/>
        </w:rPr>
      </w:pPr>
      <w:r>
        <w:rPr>
          <w:rFonts w:hint="eastAsia" w:ascii="宋体" w:hAnsi="宋体"/>
          <w:szCs w:val="21"/>
        </w:rPr>
        <w:t>2、工程地点：</w:t>
      </w:r>
      <w:r>
        <w:rPr>
          <w:rFonts w:hint="eastAsia" w:ascii="宋体" w:hAnsi="宋体"/>
          <w:szCs w:val="21"/>
          <w:lang w:val="en-US" w:eastAsia="zh-CN"/>
        </w:rPr>
        <w:t>十里坪</w:t>
      </w:r>
    </w:p>
    <w:p w14:paraId="6EAAC03B">
      <w:pPr>
        <w:spacing w:line="360" w:lineRule="auto"/>
        <w:ind w:right="-334" w:rightChars="-159" w:firstLine="420"/>
        <w:rPr>
          <w:rFonts w:hint="eastAsia" w:ascii="宋体" w:hAnsi="宋体" w:eastAsia="宋体"/>
          <w:szCs w:val="21"/>
          <w:lang w:eastAsia="zh-CN"/>
        </w:rPr>
      </w:pPr>
      <w:r>
        <w:rPr>
          <w:rFonts w:hint="eastAsia" w:ascii="宋体" w:hAnsi="宋体"/>
          <w:szCs w:val="21"/>
        </w:rPr>
        <w:t>3、工程规模</w:t>
      </w:r>
      <w:r>
        <w:rPr>
          <w:rFonts w:hint="eastAsia" w:ascii="宋体" w:hAnsi="宋体" w:eastAsia="宋体" w:cs="宋体"/>
          <w:sz w:val="21"/>
          <w:szCs w:val="21"/>
        </w:rPr>
        <w:t>：本项目为浙江省十里坪监狱第一关押点会见通道改造，主要工作内容为</w:t>
      </w:r>
      <w:r>
        <w:rPr>
          <w:rFonts w:hint="eastAsia" w:ascii="宋体" w:hAnsi="宋体" w:eastAsia="宋体" w:cs="宋体"/>
          <w:b w:val="0"/>
          <w:bCs w:val="0"/>
          <w:color w:val="000000" w:themeColor="text1"/>
          <w:sz w:val="21"/>
          <w:szCs w:val="21"/>
          <w:lang w:val="en-US" w:eastAsia="zh-CN"/>
          <w14:textFill>
            <w14:solidFill>
              <w14:schemeClr w14:val="tx1"/>
            </w14:solidFill>
          </w14:textFill>
        </w:rPr>
        <w:t>包括</w:t>
      </w:r>
      <w:r>
        <w:rPr>
          <w:rFonts w:hint="eastAsia" w:ascii="宋体" w:hAnsi="宋体" w:cs="宋体"/>
          <w:b w:val="0"/>
          <w:bCs w:val="0"/>
          <w:color w:val="000000" w:themeColor="text1"/>
          <w:sz w:val="21"/>
          <w:szCs w:val="21"/>
          <w:lang w:val="en-US" w:eastAsia="zh-CN"/>
          <w14:textFill>
            <w14:solidFill>
              <w14:schemeClr w14:val="tx1"/>
            </w14:solidFill>
          </w14:textFill>
        </w:rPr>
        <w:t>会见通道改造</w:t>
      </w:r>
      <w:r>
        <w:rPr>
          <w:rFonts w:hint="eastAsia" w:ascii="宋体" w:hAnsi="宋体" w:eastAsia="宋体" w:cs="宋体"/>
          <w:b w:val="0"/>
          <w:bCs w:val="0"/>
          <w:color w:val="000000" w:themeColor="text1"/>
          <w:sz w:val="21"/>
          <w:szCs w:val="21"/>
          <w:lang w:val="en-US" w:eastAsia="zh-CN"/>
          <w14:textFill>
            <w14:solidFill>
              <w14:schemeClr w14:val="tx1"/>
            </w14:solidFill>
          </w14:textFill>
        </w:rPr>
        <w:t>等，具体以工程量清单为准</w:t>
      </w:r>
      <w:r>
        <w:rPr>
          <w:rFonts w:hint="eastAsia" w:ascii="宋体" w:hAnsi="宋体" w:cs="宋体"/>
          <w:sz w:val="21"/>
          <w:szCs w:val="21"/>
          <w:lang w:eastAsia="zh-CN"/>
        </w:rPr>
        <w:t>。</w:t>
      </w:r>
    </w:p>
    <w:p w14:paraId="6BE95A21">
      <w:pPr>
        <w:spacing w:line="360" w:lineRule="auto"/>
        <w:ind w:firstLine="420"/>
        <w:rPr>
          <w:rFonts w:hint="eastAsia" w:ascii="宋体" w:hAnsi="宋体"/>
          <w:szCs w:val="21"/>
        </w:rPr>
      </w:pPr>
      <w:r>
        <w:rPr>
          <w:rFonts w:hint="eastAsia" w:ascii="宋体" w:hAnsi="宋体"/>
          <w:szCs w:val="21"/>
        </w:rPr>
        <w:t>4、招标范围：施工图范围内安装工程。</w:t>
      </w:r>
    </w:p>
    <w:p w14:paraId="300119F6">
      <w:pPr>
        <w:spacing w:line="360" w:lineRule="auto"/>
        <w:ind w:firstLine="0" w:firstLineChars="0"/>
        <w:rPr>
          <w:rFonts w:hint="eastAsia" w:ascii="宋体" w:hAnsi="宋体"/>
          <w:b/>
          <w:sz w:val="28"/>
          <w:szCs w:val="28"/>
        </w:rPr>
      </w:pPr>
      <w:r>
        <w:rPr>
          <w:rFonts w:hint="eastAsia" w:ascii="宋体" w:hAnsi="宋体"/>
          <w:b/>
          <w:sz w:val="28"/>
          <w:szCs w:val="28"/>
        </w:rPr>
        <w:t>二、编制依据</w:t>
      </w:r>
    </w:p>
    <w:p w14:paraId="1577E088">
      <w:pPr>
        <w:spacing w:line="360" w:lineRule="auto"/>
        <w:ind w:firstLine="420"/>
        <w:rPr>
          <w:rFonts w:hint="eastAsia" w:ascii="宋体" w:hAnsi="宋体"/>
          <w:szCs w:val="21"/>
        </w:rPr>
      </w:pPr>
      <w:r>
        <w:rPr>
          <w:rFonts w:hint="eastAsia" w:ascii="宋体" w:hAnsi="宋体"/>
          <w:szCs w:val="21"/>
        </w:rPr>
        <w:t>1、《建设工程工程量清单计价规范》（GB50500-2013）工程量清单计价办法及浙江省有关补充规定。</w:t>
      </w:r>
    </w:p>
    <w:p w14:paraId="61E7EB11">
      <w:pPr>
        <w:spacing w:line="360" w:lineRule="auto"/>
        <w:ind w:firstLine="420"/>
        <w:rPr>
          <w:rFonts w:hint="eastAsia" w:ascii="宋体" w:hAnsi="宋体"/>
          <w:szCs w:val="21"/>
        </w:rPr>
      </w:pPr>
      <w:r>
        <w:rPr>
          <w:rFonts w:hint="eastAsia" w:ascii="宋体" w:hAnsi="宋体"/>
          <w:szCs w:val="21"/>
        </w:rPr>
        <w:t>2、浙江省建筑工程计价规则（2018版），《浙江省建筑工程预算定额》（2018版）、《浙江省安装工程预算定额》（2018版）、《浙江省市政工程预算定额》（2018版）、《浙江省园林绿化及仿古建筑工程预算定额》（2018版）、《浙江省建设工程施工费用定额》（2018版）；</w:t>
      </w:r>
    </w:p>
    <w:p w14:paraId="279F76FB">
      <w:pPr>
        <w:spacing w:line="360" w:lineRule="auto"/>
        <w:ind w:firstLine="420"/>
        <w:rPr>
          <w:rFonts w:hint="eastAsia" w:ascii="宋体" w:hAnsi="宋体"/>
          <w:szCs w:val="21"/>
        </w:rPr>
      </w:pPr>
      <w:r>
        <w:rPr>
          <w:rFonts w:hint="eastAsia" w:ascii="宋体" w:hAnsi="宋体"/>
          <w:szCs w:val="21"/>
        </w:rPr>
        <w:t>3、浙江省、衢州市有关文件及法律法规和省造价管理总站的有关定额解释；</w:t>
      </w:r>
    </w:p>
    <w:p w14:paraId="5A59DABB">
      <w:pPr>
        <w:spacing w:line="360" w:lineRule="auto"/>
        <w:ind w:firstLine="420"/>
        <w:rPr>
          <w:rFonts w:hint="eastAsia" w:ascii="宋体" w:hAnsi="宋体"/>
          <w:szCs w:val="21"/>
        </w:rPr>
      </w:pPr>
      <w:r>
        <w:rPr>
          <w:rFonts w:hint="eastAsia" w:ascii="宋体" w:hAnsi="宋体"/>
          <w:szCs w:val="21"/>
        </w:rPr>
        <w:t>4、浙江省信息价2</w:t>
      </w:r>
      <w:r>
        <w:rPr>
          <w:rFonts w:hint="eastAsia" w:ascii="宋体" w:hAnsi="宋体"/>
          <w:szCs w:val="21"/>
          <w:lang w:val="en-US" w:eastAsia="zh-CN"/>
        </w:rPr>
        <w:t xml:space="preserve">025 </w:t>
      </w:r>
      <w:r>
        <w:rPr>
          <w:rFonts w:hint="eastAsia" w:ascii="宋体" w:hAnsi="宋体"/>
          <w:szCs w:val="21"/>
        </w:rPr>
        <w:t>第</w:t>
      </w:r>
      <w:r>
        <w:rPr>
          <w:rFonts w:hint="eastAsia" w:ascii="宋体" w:hAnsi="宋体"/>
          <w:szCs w:val="21"/>
          <w:lang w:val="en-US" w:eastAsia="zh-CN"/>
        </w:rPr>
        <w:t xml:space="preserve">  5 </w:t>
      </w:r>
      <w:r>
        <w:rPr>
          <w:rFonts w:hint="eastAsia" w:ascii="宋体" w:hAnsi="宋体"/>
          <w:szCs w:val="21"/>
        </w:rPr>
        <w:t>期，衢州市信息价2</w:t>
      </w:r>
      <w:r>
        <w:rPr>
          <w:rFonts w:hint="eastAsia" w:ascii="宋体" w:hAnsi="宋体"/>
          <w:szCs w:val="21"/>
          <w:lang w:val="en-US" w:eastAsia="zh-CN"/>
        </w:rPr>
        <w:t>025</w:t>
      </w:r>
      <w:r>
        <w:rPr>
          <w:rFonts w:hint="eastAsia" w:ascii="宋体" w:hAnsi="宋体"/>
          <w:szCs w:val="21"/>
        </w:rPr>
        <w:t>年第</w:t>
      </w:r>
      <w:r>
        <w:rPr>
          <w:rFonts w:hint="eastAsia" w:ascii="宋体" w:hAnsi="宋体"/>
          <w:szCs w:val="21"/>
          <w:lang w:val="en-US" w:eastAsia="zh-CN"/>
        </w:rPr>
        <w:t xml:space="preserve"> 5 </w:t>
      </w:r>
      <w:r>
        <w:rPr>
          <w:rFonts w:hint="eastAsia" w:ascii="宋体" w:hAnsi="宋体"/>
          <w:szCs w:val="21"/>
        </w:rPr>
        <w:t>期；</w:t>
      </w:r>
    </w:p>
    <w:p w14:paraId="4ED354DD">
      <w:pPr>
        <w:spacing w:line="360" w:lineRule="auto"/>
        <w:ind w:firstLine="420"/>
        <w:rPr>
          <w:rFonts w:hint="eastAsia" w:ascii="宋体" w:hAnsi="宋体"/>
          <w:szCs w:val="21"/>
        </w:rPr>
      </w:pPr>
      <w:r>
        <w:rPr>
          <w:rFonts w:hint="eastAsia" w:ascii="宋体" w:hAnsi="宋体"/>
          <w:szCs w:val="21"/>
        </w:rPr>
        <w:t>5、浙江省有关文件及法律法规和省造价管理总站的有关定额解释及浙江省造价信息期刊；</w:t>
      </w:r>
    </w:p>
    <w:p w14:paraId="359CF044">
      <w:pPr>
        <w:spacing w:line="360" w:lineRule="auto"/>
        <w:ind w:firstLine="420"/>
        <w:rPr>
          <w:rFonts w:hint="eastAsia" w:ascii="宋体" w:hAnsi="宋体"/>
          <w:szCs w:val="21"/>
        </w:rPr>
      </w:pPr>
      <w:r>
        <w:rPr>
          <w:rFonts w:hint="eastAsia" w:ascii="宋体" w:hAnsi="宋体"/>
          <w:szCs w:val="21"/>
        </w:rPr>
        <w:t>6、业主提供</w:t>
      </w:r>
      <w:r>
        <w:rPr>
          <w:rFonts w:hint="eastAsia" w:ascii="宋体" w:hAnsi="宋体"/>
          <w:szCs w:val="21"/>
          <w:lang w:eastAsia="zh-CN"/>
        </w:rPr>
        <w:t>浙江城市空间建筑规划</w:t>
      </w:r>
      <w:r>
        <w:rPr>
          <w:rFonts w:hint="eastAsia" w:ascii="宋体" w:hAnsi="宋体"/>
          <w:szCs w:val="21"/>
        </w:rPr>
        <w:t>设计</w:t>
      </w:r>
      <w:r>
        <w:rPr>
          <w:rFonts w:hint="eastAsia" w:ascii="宋体" w:hAnsi="宋体"/>
          <w:szCs w:val="21"/>
          <w:lang w:eastAsia="zh-CN"/>
        </w:rPr>
        <w:t>院有限公司</w:t>
      </w:r>
      <w:r>
        <w:rPr>
          <w:rFonts w:hint="eastAsia" w:ascii="宋体" w:hAnsi="宋体"/>
          <w:szCs w:val="21"/>
        </w:rPr>
        <w:t xml:space="preserve">的施工图。  </w:t>
      </w:r>
    </w:p>
    <w:p w14:paraId="5F37FB4D">
      <w:pPr>
        <w:spacing w:line="360" w:lineRule="auto"/>
        <w:ind w:firstLine="0" w:firstLineChars="0"/>
        <w:rPr>
          <w:rFonts w:hint="eastAsia" w:ascii="宋体" w:hAnsi="宋体"/>
          <w:b/>
          <w:color w:val="000000"/>
          <w:sz w:val="28"/>
          <w:szCs w:val="28"/>
        </w:rPr>
      </w:pPr>
      <w:r>
        <w:rPr>
          <w:rFonts w:hint="eastAsia" w:ascii="宋体" w:hAnsi="宋体"/>
          <w:b/>
          <w:color w:val="000000"/>
          <w:sz w:val="28"/>
          <w:szCs w:val="28"/>
        </w:rPr>
        <w:t>三、编制说明</w:t>
      </w:r>
    </w:p>
    <w:p w14:paraId="4AF8B07F">
      <w:pPr>
        <w:spacing w:line="240" w:lineRule="auto"/>
        <w:ind w:firstLine="198" w:firstLineChars="82"/>
        <w:outlineLvl w:val="0"/>
        <w:rPr>
          <w:rFonts w:hint="eastAsia" w:ascii="宋体" w:hAnsi="宋体"/>
          <w:b/>
          <w:color w:val="000000"/>
          <w:sz w:val="24"/>
        </w:rPr>
      </w:pPr>
      <w:r>
        <w:rPr>
          <w:rFonts w:hint="eastAsia" w:ascii="宋体" w:hAnsi="宋体"/>
          <w:b/>
          <w:color w:val="000000"/>
          <w:sz w:val="24"/>
        </w:rPr>
        <w:t xml:space="preserve"> (一)、安装工程</w:t>
      </w:r>
    </w:p>
    <w:p w14:paraId="1CED5431">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color w:val="auto"/>
          <w:sz w:val="22"/>
          <w:szCs w:val="22"/>
          <w:highlight w:val="none"/>
          <w:lang w:val="zh-CN"/>
        </w:rPr>
        <w:t>1、投标单位在投标报价时结合业主提供的书面资料及</w:t>
      </w:r>
      <w:r>
        <w:rPr>
          <w:rFonts w:hint="eastAsia" w:ascii="宋体" w:hAnsi="宋体" w:cs="宋体"/>
          <w:color w:val="auto"/>
          <w:sz w:val="22"/>
          <w:szCs w:val="22"/>
          <w:highlight w:val="none"/>
          <w:lang w:val="zh-CN"/>
        </w:rPr>
        <w:t>工程量清单</w:t>
      </w:r>
      <w:r>
        <w:rPr>
          <w:rFonts w:hint="eastAsia" w:ascii="宋体" w:hAnsi="宋体" w:eastAsia="宋体" w:cs="宋体"/>
          <w:color w:val="auto"/>
          <w:sz w:val="22"/>
          <w:szCs w:val="22"/>
          <w:highlight w:val="none"/>
          <w:lang w:val="zh-CN"/>
        </w:rPr>
        <w:t>综合考虑投标报价，清单</w:t>
      </w:r>
      <w:r>
        <w:rPr>
          <w:rFonts w:hint="eastAsia" w:ascii="宋体" w:hAnsi="宋体" w:eastAsia="宋体" w:cs="宋体"/>
          <w:b w:val="0"/>
          <w:bCs w:val="0"/>
          <w:color w:val="auto"/>
          <w:sz w:val="22"/>
          <w:szCs w:val="22"/>
          <w:highlight w:val="none"/>
          <w:lang w:val="zh-CN"/>
        </w:rPr>
        <w:t>项目特征未能对各节点详图进行完全性描述的必须按施工图或施工图注明图集进行报价，否则视为已计入相应项目综合单价中，中标后将不调整综合单价。</w:t>
      </w:r>
      <w:r>
        <w:rPr>
          <w:rFonts w:hint="eastAsia" w:ascii="宋体" w:hAnsi="宋体" w:cs="宋体"/>
          <w:b w:val="0"/>
          <w:bCs w:val="0"/>
          <w:color w:val="auto"/>
          <w:sz w:val="22"/>
          <w:szCs w:val="22"/>
          <w:highlight w:val="none"/>
          <w:lang w:val="zh-CN"/>
        </w:rPr>
        <w:t>（施工图由招标人在标后提供）</w:t>
      </w:r>
    </w:p>
    <w:p w14:paraId="0AF2CE3C">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、定额人工及市场人工价差调整按省市相关规定自行报价，中标后不做调整。</w:t>
      </w:r>
    </w:p>
    <w:p w14:paraId="39FB6EE8">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、本工程项目特征未祥之处均按规范执行并满足业主使用要求，相应费用考虑在综合单价中，中标后将不调整综合单价。</w:t>
      </w:r>
    </w:p>
    <w:p w14:paraId="7E8F21D4">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本工程中所涉及到的所有材料品质均为</w:t>
      </w:r>
      <w:r>
        <w:rPr>
          <w:rFonts w:hint="eastAsia" w:ascii="宋体" w:hAnsi="宋体" w:cs="宋体"/>
          <w:b w:val="0"/>
          <w:bCs w:val="0"/>
          <w:color w:val="auto"/>
          <w:sz w:val="22"/>
          <w:szCs w:val="22"/>
          <w:highlight w:val="none"/>
          <w:lang w:val="en-US" w:eastAsia="zh-CN"/>
        </w:rPr>
        <w:t>优等品</w:t>
      </w:r>
      <w:r>
        <w:rPr>
          <w:rFonts w:hint="eastAsia" w:ascii="宋体" w:hAnsi="宋体" w:eastAsia="宋体" w:cs="宋体"/>
          <w:b w:val="0"/>
          <w:bCs w:val="0"/>
          <w:color w:val="auto"/>
          <w:sz w:val="22"/>
          <w:szCs w:val="22"/>
          <w:highlight w:val="none"/>
          <w:lang w:val="zh-CN"/>
        </w:rPr>
        <w:t>，环保要求必须达到国家强制性标准以上。</w:t>
      </w:r>
    </w:p>
    <w:p w14:paraId="29DD23FB">
      <w:pPr>
        <w:pStyle w:val="4"/>
        <w:keepNext w:val="0"/>
        <w:keepLines w:val="0"/>
        <w:widowControl/>
        <w:suppressLineNumbers w:val="0"/>
        <w:spacing w:before="0" w:beforeAutospacing="0" w:after="0" w:afterAutospacing="0"/>
        <w:ind w:left="0" w:right="0" w:firstLine="0"/>
        <w:rPr>
          <w:rFonts w:hint="eastAsia" w:ascii="宋体" w:hAnsi="宋体" w:eastAsia="宋体" w:cs="宋体"/>
          <w:b w:val="0"/>
          <w:bCs w:val="0"/>
          <w:color w:val="auto"/>
          <w:kern w:val="2"/>
          <w:sz w:val="22"/>
          <w:szCs w:val="22"/>
          <w:highlight w:val="none"/>
          <w:lang w:val="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kern w:val="2"/>
          <w:sz w:val="22"/>
          <w:szCs w:val="22"/>
          <w:highlight w:val="none"/>
          <w:lang w:val="zh-CN"/>
        </w:rPr>
        <w:t>本项目拆除物、垃圾外运堆放场地施工方自行考虑，但要符合环境保护相关规定；</w:t>
      </w:r>
    </w:p>
    <w:p w14:paraId="46D17A63">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en-US" w:eastAsia="zh-CN"/>
        </w:rPr>
        <w:t>、本项目存在交叉作业，</w:t>
      </w:r>
      <w:r>
        <w:rPr>
          <w:rFonts w:hint="eastAsia" w:ascii="宋体" w:hAnsi="宋体" w:eastAsia="宋体" w:cs="宋体"/>
          <w:b w:val="0"/>
          <w:bCs w:val="0"/>
          <w:color w:val="auto"/>
          <w:sz w:val="22"/>
          <w:szCs w:val="22"/>
          <w:highlight w:val="none"/>
          <w:lang w:val="zh-CN"/>
        </w:rPr>
        <w:t>在</w:t>
      </w:r>
      <w:r>
        <w:rPr>
          <w:rFonts w:hint="eastAsia" w:ascii="宋体" w:hAnsi="宋体" w:eastAsia="宋体" w:cs="宋体"/>
          <w:b w:val="0"/>
          <w:bCs w:val="0"/>
          <w:color w:val="auto"/>
          <w:sz w:val="22"/>
          <w:szCs w:val="22"/>
          <w:highlight w:val="none"/>
          <w:lang w:val="en-US" w:eastAsia="zh-CN"/>
        </w:rPr>
        <w:t>施工过程中</w:t>
      </w:r>
      <w:r>
        <w:rPr>
          <w:rFonts w:hint="eastAsia" w:ascii="宋体" w:hAnsi="宋体" w:eastAsia="宋体" w:cs="宋体"/>
          <w:b w:val="0"/>
          <w:bCs w:val="0"/>
          <w:color w:val="auto"/>
          <w:sz w:val="22"/>
          <w:szCs w:val="22"/>
          <w:highlight w:val="none"/>
          <w:lang w:val="zh-CN"/>
        </w:rPr>
        <w:t>，根据施工现场实际情况，制定详细的交叉施工方案，明确各施工项目的作业范围、时间节点和安全措施</w:t>
      </w:r>
      <w:r>
        <w:rPr>
          <w:rFonts w:hint="eastAsia" w:ascii="宋体" w:hAnsi="宋体" w:eastAsia="宋体" w:cs="宋体"/>
          <w:b w:val="0"/>
          <w:bCs w:val="0"/>
          <w:color w:val="auto"/>
          <w:sz w:val="22"/>
          <w:szCs w:val="22"/>
          <w:highlight w:val="none"/>
          <w:lang w:val="zh-CN" w:eastAsia="zh-CN"/>
        </w:rPr>
        <w:t>，</w:t>
      </w:r>
      <w:r>
        <w:rPr>
          <w:rFonts w:hint="eastAsia" w:ascii="宋体" w:hAnsi="宋体" w:eastAsia="宋体" w:cs="宋体"/>
          <w:b w:val="0"/>
          <w:bCs w:val="0"/>
          <w:color w:val="auto"/>
          <w:sz w:val="22"/>
          <w:szCs w:val="22"/>
          <w:highlight w:val="none"/>
          <w:lang w:val="zh-CN"/>
        </w:rPr>
        <w:t>加强各施工项目的进度协调，确保施工顺利进行</w:t>
      </w:r>
      <w:r>
        <w:rPr>
          <w:rFonts w:hint="eastAsia" w:ascii="宋体" w:hAnsi="宋体" w:eastAsia="宋体" w:cs="宋体"/>
          <w:b w:val="0"/>
          <w:bCs w:val="0"/>
          <w:color w:val="auto"/>
          <w:sz w:val="22"/>
          <w:szCs w:val="22"/>
          <w:highlight w:val="none"/>
          <w:lang w:val="zh-CN" w:eastAsia="zh-CN"/>
        </w:rPr>
        <w:t>。</w:t>
      </w:r>
      <w:r>
        <w:rPr>
          <w:rFonts w:hint="eastAsia" w:ascii="宋体" w:hAnsi="宋体" w:eastAsia="宋体" w:cs="宋体"/>
          <w:b w:val="0"/>
          <w:bCs w:val="0"/>
          <w:color w:val="auto"/>
          <w:sz w:val="22"/>
          <w:szCs w:val="22"/>
          <w:highlight w:val="none"/>
          <w:lang w:val="en-US" w:eastAsia="zh-CN"/>
        </w:rPr>
        <w:t>后期不得因交叉作业上报签证索赔，投标单位根据整体项目的</w:t>
      </w:r>
      <w:r>
        <w:rPr>
          <w:rFonts w:hint="eastAsia" w:ascii="宋体" w:hAnsi="宋体" w:eastAsia="宋体" w:cs="宋体"/>
          <w:color w:val="auto"/>
          <w:sz w:val="22"/>
          <w:szCs w:val="22"/>
          <w:highlight w:val="none"/>
          <w:lang w:val="en-US" w:eastAsia="zh-CN"/>
        </w:rPr>
        <w:t>实际情况，结合自身施工的需要</w:t>
      </w:r>
      <w:r>
        <w:rPr>
          <w:rFonts w:hint="eastAsia" w:ascii="宋体" w:hAnsi="宋体" w:eastAsia="宋体" w:cs="宋体"/>
          <w:color w:val="auto"/>
          <w:sz w:val="22"/>
          <w:szCs w:val="22"/>
          <w:highlight w:val="none"/>
          <w:lang w:val="zh-CN" w:eastAsia="zh-CN"/>
        </w:rPr>
        <w:t>综合考虑</w:t>
      </w:r>
      <w:r>
        <w:rPr>
          <w:rFonts w:hint="eastAsia" w:ascii="宋体" w:hAnsi="宋体" w:eastAsia="宋体" w:cs="宋体"/>
          <w:color w:val="auto"/>
          <w:sz w:val="22"/>
          <w:szCs w:val="22"/>
          <w:highlight w:val="none"/>
          <w:lang w:val="en-US" w:eastAsia="zh-CN"/>
        </w:rPr>
        <w:t>施工方式、施工时间等技术措施费用,在措施费用清单中综合考虑报价,一次性包干。</w:t>
      </w:r>
    </w:p>
    <w:p w14:paraId="04765F0E">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7</w:t>
      </w:r>
      <w:r>
        <w:rPr>
          <w:rFonts w:hint="eastAsia" w:ascii="宋体" w:hAnsi="宋体" w:eastAsia="宋体" w:cs="宋体"/>
          <w:color w:val="auto"/>
          <w:sz w:val="22"/>
          <w:szCs w:val="22"/>
          <w:highlight w:val="none"/>
          <w:lang w:val="en-US" w:eastAsia="zh-CN"/>
        </w:rPr>
        <w:t>、施工过程中，材料堆放保持整洁、有序，建筑垃圾及时清运</w:t>
      </w:r>
      <w:r>
        <w:rPr>
          <w:rFonts w:hint="eastAsia" w:ascii="宋体" w:hAnsi="宋体" w:eastAsia="宋体" w:cs="宋体"/>
          <w:color w:val="auto"/>
          <w:sz w:val="22"/>
          <w:szCs w:val="22"/>
          <w:highlight w:val="none"/>
          <w:lang w:val="zh-CN" w:eastAsia="zh-CN"/>
        </w:rPr>
        <w:t>；</w:t>
      </w:r>
      <w:r>
        <w:rPr>
          <w:rFonts w:hint="eastAsia" w:ascii="宋体" w:hAnsi="宋体" w:eastAsia="宋体" w:cs="宋体"/>
          <w:color w:val="auto"/>
          <w:sz w:val="22"/>
          <w:szCs w:val="22"/>
          <w:highlight w:val="none"/>
          <w:lang w:val="en-US" w:eastAsia="zh-CN"/>
        </w:rPr>
        <w:t>对空调、地砖、墙面等办公设施进行保护，若有损坏，无条件予以更换</w:t>
      </w:r>
      <w:r>
        <w:rPr>
          <w:rFonts w:hint="eastAsia" w:ascii="宋体" w:hAnsi="宋体" w:eastAsia="宋体" w:cs="宋体"/>
          <w:color w:val="auto"/>
          <w:sz w:val="22"/>
          <w:szCs w:val="22"/>
          <w:highlight w:val="none"/>
          <w:lang w:val="zh-CN" w:eastAsia="zh-CN"/>
        </w:rPr>
        <w:t>或</w:t>
      </w:r>
      <w:r>
        <w:rPr>
          <w:rFonts w:hint="eastAsia" w:ascii="宋体" w:hAnsi="宋体" w:eastAsia="宋体" w:cs="宋体"/>
          <w:color w:val="auto"/>
          <w:sz w:val="22"/>
          <w:szCs w:val="22"/>
          <w:highlight w:val="none"/>
          <w:lang w:val="en-US" w:eastAsia="zh-CN"/>
        </w:rPr>
        <w:t>赔偿</w:t>
      </w:r>
      <w:r>
        <w:rPr>
          <w:rFonts w:hint="eastAsia" w:ascii="宋体" w:hAnsi="宋体" w:eastAsia="宋体" w:cs="宋体"/>
          <w:color w:val="auto"/>
          <w:sz w:val="22"/>
          <w:szCs w:val="22"/>
          <w:highlight w:val="none"/>
          <w:lang w:val="zh-CN" w:eastAsia="zh-CN"/>
        </w:rPr>
        <w:t>。投标单位</w:t>
      </w:r>
      <w:r>
        <w:rPr>
          <w:rFonts w:hint="eastAsia" w:ascii="宋体" w:hAnsi="宋体" w:eastAsia="宋体" w:cs="宋体"/>
          <w:color w:val="auto"/>
          <w:sz w:val="22"/>
          <w:szCs w:val="22"/>
          <w:highlight w:val="none"/>
          <w:lang w:val="en-US" w:eastAsia="zh-CN"/>
        </w:rPr>
        <w:t>根据现场实际综合考虑自行报价，中标后不予调整。</w:t>
      </w:r>
    </w:p>
    <w:p w14:paraId="38A9DE2C">
      <w:pPr>
        <w:keepNext w:val="0"/>
        <w:keepLines w:val="0"/>
        <w:pageBreakBefore w:val="0"/>
        <w:widowControl/>
        <w:kinsoku/>
        <w:wordWrap/>
        <w:overflowPunct/>
        <w:topLinePunct w:val="0"/>
        <w:bidi w:val="0"/>
        <w:snapToGrid/>
        <w:spacing w:beforeLines="0" w:afterLines="0" w:line="360" w:lineRule="auto"/>
        <w:jc w:val="lef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8、本项目拆除垃圾的运距及堆放地点由施工方自行考虑</w:t>
      </w:r>
    </w:p>
    <w:p w14:paraId="4EF7B62D">
      <w:pPr>
        <w:numPr>
          <w:ilvl w:val="0"/>
          <w:numId w:val="0"/>
        </w:numPr>
        <w:spacing w:line="240" w:lineRule="auto"/>
        <w:ind w:firstLine="440" w:firstLineChars="200"/>
        <w:rPr>
          <w:rFonts w:hint="eastAsia" w:ascii="宋体" w:hAnsi="宋体" w:eastAsia="宋体" w:cs="宋体"/>
          <w:color w:val="auto"/>
          <w:sz w:val="22"/>
          <w:szCs w:val="22"/>
          <w:highlight w:val="none"/>
          <w:lang w:val="en-US" w:eastAsia="zh-CN"/>
        </w:rPr>
      </w:pPr>
      <w:r>
        <w:rPr>
          <w:rFonts w:hint="eastAsia" w:cs="宋体"/>
          <w:color w:val="auto"/>
          <w:sz w:val="22"/>
          <w:szCs w:val="22"/>
          <w:highlight w:val="none"/>
          <w:lang w:val="en-US" w:eastAsia="zh-CN"/>
        </w:rPr>
        <w:t>9</w:t>
      </w:r>
      <w:r>
        <w:rPr>
          <w:rFonts w:hint="eastAsia" w:ascii="宋体" w:hAnsi="宋体" w:eastAsia="宋体" w:cs="宋体"/>
          <w:color w:val="auto"/>
          <w:sz w:val="22"/>
          <w:szCs w:val="22"/>
          <w:highlight w:val="none"/>
          <w:lang w:val="en-US" w:eastAsia="zh-CN"/>
        </w:rPr>
        <w:t>、其他内容详见招标清单。</w:t>
      </w:r>
    </w:p>
    <w:p w14:paraId="4F135F65">
      <w:pPr>
        <w:numPr>
          <w:ilvl w:val="0"/>
          <w:numId w:val="0"/>
        </w:numPr>
        <w:spacing w:line="240" w:lineRule="auto"/>
        <w:rPr>
          <w:rFonts w:hint="eastAsia" w:ascii="宋体" w:hAnsi="宋体"/>
          <w:b w:val="0"/>
          <w:bCs/>
          <w:color w:val="auto"/>
          <w:sz w:val="24"/>
          <w:szCs w:val="24"/>
          <w:highlight w:val="none"/>
          <w:lang w:val="en-US" w:eastAsia="zh-CN"/>
        </w:rPr>
      </w:pPr>
      <w:r>
        <w:rPr>
          <w:rFonts w:hint="eastAsia" w:ascii="宋体" w:hAnsi="宋体"/>
          <w:b/>
          <w:color w:val="000000"/>
          <w:sz w:val="28"/>
          <w:szCs w:val="28"/>
        </w:rPr>
        <w:t>四、</w:t>
      </w:r>
      <w:r>
        <w:rPr>
          <w:rFonts w:hint="eastAsia" w:ascii="宋体" w:hAnsi="宋体"/>
          <w:b/>
          <w:color w:val="000000"/>
          <w:sz w:val="28"/>
          <w:szCs w:val="28"/>
          <w:lang w:eastAsia="zh-CN"/>
        </w:rPr>
        <w:t>推荐</w:t>
      </w:r>
      <w:r>
        <w:rPr>
          <w:rFonts w:hint="eastAsia" w:ascii="宋体" w:hAnsi="宋体"/>
          <w:b/>
          <w:color w:val="000000"/>
          <w:sz w:val="28"/>
          <w:szCs w:val="28"/>
        </w:rPr>
        <w:t>品牌部分</w:t>
      </w:r>
      <w:r>
        <w:rPr>
          <w:rFonts w:hint="eastAsia" w:ascii="宋体" w:hAnsi="宋体"/>
          <w:b w:val="0"/>
          <w:bCs/>
          <w:color w:val="auto"/>
          <w:sz w:val="24"/>
          <w:szCs w:val="24"/>
          <w:highlight w:val="none"/>
          <w:lang w:val="en-US" w:eastAsia="zh-CN"/>
        </w:rPr>
        <w:t>：</w:t>
      </w:r>
      <w:r>
        <w:rPr>
          <w:rFonts w:hint="eastAsia" w:ascii="宋体" w:hAnsi="宋体"/>
          <w:b w:val="0"/>
          <w:bCs/>
          <w:color w:val="auto"/>
          <w:sz w:val="22"/>
          <w:szCs w:val="22"/>
          <w:highlight w:val="none"/>
          <w:lang w:val="en-US" w:eastAsia="zh-CN"/>
        </w:rPr>
        <w:t>成交人在履行合同时，可选用参考品牌的材料（设备），也可选用参照或相当于参考品牌技术标准的材料（设备），在选用参照或相当于参考品牌技术标准的材料（设备）前，须将相关证明材料报监理单位及采购人审核、同意。</w:t>
      </w:r>
    </w:p>
    <w:tbl>
      <w:tblPr>
        <w:tblStyle w:val="5"/>
        <w:tblW w:w="82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6"/>
        <w:gridCol w:w="1167"/>
        <w:gridCol w:w="1140"/>
        <w:gridCol w:w="1220"/>
        <w:gridCol w:w="1240"/>
        <w:gridCol w:w="1230"/>
        <w:gridCol w:w="1170"/>
      </w:tblGrid>
      <w:tr w14:paraId="1D05B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82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A58289E">
            <w:pPr>
              <w:keepNext w:val="0"/>
              <w:keepLines w:val="0"/>
              <w:widowControl/>
              <w:suppressLineNumbers w:val="0"/>
              <w:ind w:left="0" w:leftChars="0" w:firstLine="0" w:firstLineChars="0"/>
              <w:jc w:val="center"/>
              <w:textAlignment w:val="center"/>
              <w:rPr>
                <w:rFonts w:ascii="新宋体" w:hAnsi="新宋体" w:eastAsia="新宋体" w:cs="新宋体"/>
                <w:b/>
                <w:bCs/>
                <w:i w:val="0"/>
                <w:iCs w:val="0"/>
                <w:color w:val="000000"/>
                <w:sz w:val="32"/>
                <w:szCs w:val="32"/>
                <w:u w:val="none"/>
              </w:rPr>
            </w:pPr>
            <w:r>
              <w:rPr>
                <w:rFonts w:hint="eastAsia" w:ascii="新宋体" w:hAnsi="新宋体" w:eastAsia="新宋体" w:cs="新宋体"/>
                <w:b/>
                <w:bCs/>
                <w:i w:val="0"/>
                <w:iCs w:val="0"/>
                <w:color w:val="000000"/>
                <w:kern w:val="0"/>
                <w:sz w:val="32"/>
                <w:szCs w:val="32"/>
                <w:u w:val="none"/>
                <w:lang w:val="en-US" w:eastAsia="zh-CN" w:bidi="ar"/>
              </w:rPr>
              <w:t>浙江省十里坪监狱基建工程材料品牌备选库</w:t>
            </w:r>
          </w:p>
        </w:tc>
      </w:tr>
      <w:tr w14:paraId="3DC8C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F65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编号</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B74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材料名称</w:t>
            </w:r>
          </w:p>
        </w:tc>
        <w:tc>
          <w:tcPr>
            <w:tcW w:w="6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F79D64">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品牌（产地）</w:t>
            </w:r>
          </w:p>
        </w:tc>
      </w:tr>
      <w:tr w14:paraId="2C33A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2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0CB361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一、主体工程</w:t>
            </w:r>
          </w:p>
        </w:tc>
      </w:tr>
      <w:tr w14:paraId="773B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28E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2F50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钢筋</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863F">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元立（丽水）</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799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沙钢（江苏）</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732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本钢（本溪）</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911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西城（江苏）</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251B">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r>
      <w:tr w14:paraId="4D994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63D7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2EC5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水泥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5B3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江山虎（衢州）</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B5D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尖峰（金华）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DCB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虎山（衢州）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73F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红狮（金华）</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8E23">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r>
      <w:tr w14:paraId="36E72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3B3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D9E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玻璃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C9E7F">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信义XYG（东莞）</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FFFF">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洛玻CLFG（洛阳）</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DE5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金晶G-CRYSTAL（山东博山）</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5946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耀皮（上海）</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A0EA">
            <w:pPr>
              <w:jc w:val="center"/>
              <w:rPr>
                <w:rFonts w:hint="eastAsia" w:ascii="宋体" w:hAnsi="宋体" w:eastAsia="宋体" w:cs="宋体"/>
                <w:b w:val="0"/>
                <w:bCs w:val="0"/>
                <w:i w:val="0"/>
                <w:iCs w:val="0"/>
                <w:color w:val="000000"/>
                <w:sz w:val="21"/>
                <w:szCs w:val="21"/>
                <w:u w:val="none"/>
              </w:rPr>
            </w:pPr>
          </w:p>
        </w:tc>
      </w:tr>
      <w:tr w14:paraId="4F92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D852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BFA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五金配件</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34BE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坚朗KIN LONG（广东）</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F08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汇泰龙HUTLON（广州）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3364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戈顿GERDEN（广州）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7DE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GUTE固特（揭阳）</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EC5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春光五金（温州平阳）</w:t>
            </w:r>
          </w:p>
        </w:tc>
      </w:tr>
      <w:tr w14:paraId="4DEAB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EC3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97E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木工板、免漆板等装饰板材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E3C3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千年舟TREEZO（杭州）</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DE12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兔宝宝TUBAO（湖州）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0E6F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莫干山（湖州）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586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大王椰板材（杭州）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F321">
            <w:pPr>
              <w:jc w:val="center"/>
              <w:rPr>
                <w:rFonts w:hint="eastAsia" w:ascii="宋体" w:hAnsi="宋体" w:eastAsia="宋体" w:cs="宋体"/>
                <w:b w:val="0"/>
                <w:bCs w:val="0"/>
                <w:i w:val="0"/>
                <w:iCs w:val="0"/>
                <w:color w:val="000000"/>
                <w:sz w:val="21"/>
                <w:szCs w:val="21"/>
                <w:u w:val="none"/>
              </w:rPr>
            </w:pPr>
          </w:p>
        </w:tc>
      </w:tr>
      <w:tr w14:paraId="28611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F1D6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6</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D205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防水卷材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DB1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东方雨虹ORIENTAL YUHONG（北京）</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38E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禹王防水YUWANG WATERPROOF（盘锦）</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D45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科顺CKS（佛山）</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BC13">
            <w:pPr>
              <w:jc w:val="center"/>
              <w:rPr>
                <w:rFonts w:hint="eastAsia" w:ascii="宋体" w:hAnsi="宋体" w:eastAsia="宋体" w:cs="宋体"/>
                <w:b w:val="0"/>
                <w:bCs w:val="0"/>
                <w:i w:val="0"/>
                <w:iCs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CA6D">
            <w:pPr>
              <w:jc w:val="center"/>
              <w:rPr>
                <w:rFonts w:hint="eastAsia" w:ascii="宋体" w:hAnsi="宋体" w:eastAsia="宋体" w:cs="宋体"/>
                <w:b w:val="0"/>
                <w:bCs w:val="0"/>
                <w:i w:val="0"/>
                <w:iCs w:val="0"/>
                <w:color w:val="000000"/>
                <w:sz w:val="21"/>
                <w:szCs w:val="21"/>
                <w:u w:val="none"/>
              </w:rPr>
            </w:pPr>
          </w:p>
        </w:tc>
      </w:tr>
      <w:tr w14:paraId="3BEEF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07E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7</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95D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防水涂料</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235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东方雨虹ORIENTAL YUHONG（北京）</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FB0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禹王（盘锦）</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71F1">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青龙qinglong（广西）</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670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科顺CKS（佛山）</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3DE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r>
      <w:tr w14:paraId="58943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21A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8</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6F4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外墙涂料、内墙乳胶漆、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D4C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三棵树SKSHU（莆田）</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0E8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多乐士Dulux</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9E83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华润（佛山）</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DB4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4740">
            <w:pPr>
              <w:jc w:val="center"/>
              <w:rPr>
                <w:rFonts w:hint="eastAsia" w:ascii="宋体" w:hAnsi="宋体" w:eastAsia="宋体" w:cs="宋体"/>
                <w:b w:val="0"/>
                <w:bCs w:val="0"/>
                <w:i w:val="0"/>
                <w:iCs w:val="0"/>
                <w:color w:val="000000"/>
                <w:sz w:val="21"/>
                <w:szCs w:val="21"/>
                <w:u w:val="none"/>
              </w:rPr>
            </w:pPr>
          </w:p>
        </w:tc>
      </w:tr>
      <w:tr w14:paraId="38EA7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F90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9</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2ED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外墙真石漆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2DE7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久诺（常州）</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7F8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好思家Homesky(安徽蚌埠)</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8BE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铃鹿涂料suzuka（上海）</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97D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三棵树SKSHU（莆田）</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A19C">
            <w:pPr>
              <w:jc w:val="center"/>
              <w:rPr>
                <w:rFonts w:hint="eastAsia" w:ascii="宋体" w:hAnsi="宋体" w:eastAsia="宋体" w:cs="宋体"/>
                <w:b w:val="0"/>
                <w:bCs w:val="0"/>
                <w:i w:val="0"/>
                <w:iCs w:val="0"/>
                <w:color w:val="000000"/>
                <w:sz w:val="21"/>
                <w:szCs w:val="21"/>
                <w:u w:val="none"/>
              </w:rPr>
            </w:pPr>
          </w:p>
        </w:tc>
      </w:tr>
      <w:tr w14:paraId="0530D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91E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10</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456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集成吊顶</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FA8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友邦MSO（嘉兴）</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AA12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奥普AUPU（上海）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DF4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奥华OUR（嘉兴）</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BFD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顶上DS</w:t>
            </w:r>
            <w:r>
              <w:rPr>
                <w:rStyle w:val="18"/>
                <w:rFonts w:hint="eastAsia" w:ascii="宋体" w:hAnsi="宋体" w:eastAsia="宋体" w:cs="宋体"/>
                <w:b w:val="0"/>
                <w:bCs w:val="0"/>
                <w:sz w:val="21"/>
                <w:szCs w:val="21"/>
                <w:lang w:val="en-US" w:eastAsia="zh-CN" w:bidi="ar"/>
              </w:rPr>
              <w:t>（嘉兴）</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5B38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FS/LON法狮龙（嘉兴）</w:t>
            </w:r>
          </w:p>
        </w:tc>
      </w:tr>
      <w:tr w14:paraId="78D80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B2E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11</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9EB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轻钢龙骨、纸面石膏板、防水纸面石膏板、矿棉吸音板、吸音复合板</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A64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龙牌（北京）</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219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泰山（泰安）</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832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可耐福（天津）</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1D64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杰森JASON（嘉兴）</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1717">
            <w:pPr>
              <w:jc w:val="center"/>
              <w:rPr>
                <w:rFonts w:hint="eastAsia" w:ascii="宋体" w:hAnsi="宋体" w:eastAsia="宋体" w:cs="宋体"/>
                <w:b w:val="0"/>
                <w:bCs w:val="0"/>
                <w:i w:val="0"/>
                <w:iCs w:val="0"/>
                <w:color w:val="000000"/>
                <w:sz w:val="21"/>
                <w:szCs w:val="21"/>
                <w:u w:val="none"/>
              </w:rPr>
            </w:pPr>
          </w:p>
        </w:tc>
      </w:tr>
      <w:tr w14:paraId="2B634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7D8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12</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1A85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硅酸钙板、洁净</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2BE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泰山（泰安）</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E0B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埃特尼特（广州）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C8C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台荣建材（湖州）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1E6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松本绿色（广州）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F15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汉德邦建材（杭州）</w:t>
            </w:r>
          </w:p>
        </w:tc>
      </w:tr>
      <w:tr w14:paraId="5C35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F3D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13</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952D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地砖、墙面砖</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564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东鹏瓷砖DONGPENG（广东）</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6E66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马可波罗Marcopolo（东莞）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215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诺贝尔瓷砖（杭州）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0E5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欧神诺OCEANO（佛山）</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EA0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斯米克CIMIC（上海）</w:t>
            </w:r>
          </w:p>
        </w:tc>
      </w:tr>
      <w:tr w14:paraId="5DB21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08A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14</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F004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防静电地板</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03B5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沈飞地板（沈阳）</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DED8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天开Tkflor（金华）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E67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创星地板（常州）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C4B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汇丽HuiLi（常州）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F254">
            <w:pPr>
              <w:jc w:val="center"/>
              <w:rPr>
                <w:rFonts w:hint="eastAsia" w:ascii="宋体" w:hAnsi="宋体" w:eastAsia="宋体" w:cs="宋体"/>
                <w:b w:val="0"/>
                <w:bCs w:val="0"/>
                <w:i w:val="0"/>
                <w:iCs w:val="0"/>
                <w:color w:val="000000"/>
                <w:sz w:val="21"/>
                <w:szCs w:val="21"/>
                <w:u w:val="none"/>
              </w:rPr>
            </w:pPr>
          </w:p>
        </w:tc>
      </w:tr>
      <w:tr w14:paraId="3B48D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872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15</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856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塑胶地板（pvc塑胶卷材）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8B19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大巨龙（上海）</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39F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海特（临沂）</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7B8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隆昇（北京圣特华科）</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AE8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帝肯（上海）</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0148">
            <w:pPr>
              <w:jc w:val="center"/>
              <w:rPr>
                <w:rFonts w:hint="eastAsia" w:ascii="宋体" w:hAnsi="宋体" w:eastAsia="宋体" w:cs="宋体"/>
                <w:b w:val="0"/>
                <w:bCs w:val="0"/>
                <w:i w:val="0"/>
                <w:iCs w:val="0"/>
                <w:color w:val="000000"/>
                <w:sz w:val="21"/>
                <w:szCs w:val="21"/>
                <w:u w:val="none"/>
              </w:rPr>
            </w:pPr>
          </w:p>
        </w:tc>
      </w:tr>
      <w:tr w14:paraId="3305E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4984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16</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E39F">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钢质成品防盗门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BFD2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王力WONLY（金华）</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8FA2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步阳BY（金华）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401A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群升门业chinsun（金华）</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6D90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盼盼PANPAN（营口）</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1BA9">
            <w:pPr>
              <w:jc w:val="center"/>
              <w:rPr>
                <w:rFonts w:hint="eastAsia" w:ascii="宋体" w:hAnsi="宋体" w:eastAsia="宋体" w:cs="宋体"/>
                <w:b w:val="0"/>
                <w:bCs w:val="0"/>
                <w:i w:val="0"/>
                <w:iCs w:val="0"/>
                <w:color w:val="000000"/>
                <w:sz w:val="21"/>
                <w:szCs w:val="21"/>
                <w:u w:val="none"/>
              </w:rPr>
            </w:pPr>
          </w:p>
        </w:tc>
      </w:tr>
      <w:tr w14:paraId="61891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82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1FBE78">
            <w:pPr>
              <w:ind w:left="0" w:leftChars="0" w:firstLine="0" w:firstLineChars="0"/>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二、安装工程</w:t>
            </w:r>
          </w:p>
        </w:tc>
      </w:tr>
      <w:tr w14:paraId="592A2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B3B1">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17</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0D0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配电箱元器件</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3ACF">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德力西DELIXI（温州）</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4819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正泰CHINT（温州）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908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人民PEOPLE（温州）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330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飞雕Feidiao（上海）</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856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长城CNC （温州）</w:t>
            </w:r>
          </w:p>
        </w:tc>
      </w:tr>
      <w:tr w14:paraId="4D3E4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7BA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18</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F26F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插座、开关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1C7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公牛BULL（宁波）</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DCF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TCL</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A93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鸿雁HONYAR（杭州）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3398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正泰电工（温州）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7756">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德力西DELIXI（温州）</w:t>
            </w:r>
          </w:p>
        </w:tc>
      </w:tr>
      <w:tr w14:paraId="35890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E96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19</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B80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电缆、电线</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BEE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远东电缆（宜兴）</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BB8F">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胜华电缆（上海）</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661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上上电缆（常州）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274F">
            <w:pPr>
              <w:jc w:val="center"/>
              <w:rPr>
                <w:rFonts w:hint="eastAsia" w:ascii="宋体" w:hAnsi="宋体" w:eastAsia="宋体" w:cs="宋体"/>
                <w:b w:val="0"/>
                <w:bCs w:val="0"/>
                <w:i w:val="0"/>
                <w:iCs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19F1">
            <w:pPr>
              <w:jc w:val="center"/>
              <w:rPr>
                <w:rFonts w:hint="eastAsia" w:ascii="宋体" w:hAnsi="宋体" w:eastAsia="宋体" w:cs="宋体"/>
                <w:b w:val="0"/>
                <w:bCs w:val="0"/>
                <w:i w:val="0"/>
                <w:iCs w:val="0"/>
                <w:color w:val="000000"/>
                <w:sz w:val="21"/>
                <w:szCs w:val="21"/>
                <w:u w:val="none"/>
              </w:rPr>
            </w:pPr>
          </w:p>
        </w:tc>
      </w:tr>
      <w:tr w14:paraId="0E67D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A0B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20</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E267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照明灯具(包括光源及消防应急、疏散灯光源)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337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飞利浦PHILIPS</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7DE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欧普OPPLE（中山）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812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雷士NVC（惠州）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B7B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三雄极光Pak（广州）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9B0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鸿雁HONYAR（杭州）</w:t>
            </w:r>
          </w:p>
        </w:tc>
      </w:tr>
      <w:tr w14:paraId="523D7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DDE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21</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7F0C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阀门（压力管道）</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883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工牌（上海良工阀门厂）</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AD9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宇翔（浙江玉环宝水阀门厂）</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9B0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京牌BVMC</w:t>
            </w:r>
            <w:r>
              <w:rPr>
                <w:rStyle w:val="18"/>
                <w:rFonts w:hint="eastAsia" w:ascii="宋体" w:hAnsi="宋体" w:eastAsia="宋体" w:cs="宋体"/>
                <w:b w:val="0"/>
                <w:bCs w:val="0"/>
                <w:sz w:val="21"/>
                <w:szCs w:val="21"/>
                <w:lang w:val="en-US" w:eastAsia="zh-CN" w:bidi="ar"/>
              </w:rPr>
              <w:t>（北京）</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D8C0">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盾安DunAn（绍兴）</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36B2">
            <w:pPr>
              <w:jc w:val="center"/>
              <w:rPr>
                <w:rFonts w:hint="eastAsia" w:ascii="宋体" w:hAnsi="宋体" w:eastAsia="宋体" w:cs="宋体"/>
                <w:b w:val="0"/>
                <w:bCs w:val="0"/>
                <w:i w:val="0"/>
                <w:iCs w:val="0"/>
                <w:color w:val="000000"/>
                <w:sz w:val="21"/>
                <w:szCs w:val="21"/>
                <w:u w:val="none"/>
              </w:rPr>
            </w:pPr>
          </w:p>
        </w:tc>
      </w:tr>
      <w:tr w14:paraId="24AB7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B0B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22</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369B">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非金属管材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4FAA">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中财管道ZHONGCAI（绍兴）</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BA6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伟星新材vasen</w:t>
            </w:r>
            <w:r>
              <w:rPr>
                <w:rStyle w:val="18"/>
                <w:rFonts w:hint="eastAsia" w:ascii="宋体" w:hAnsi="宋体" w:eastAsia="宋体" w:cs="宋体"/>
                <w:b w:val="0"/>
                <w:bCs w:val="0"/>
                <w:sz w:val="21"/>
                <w:szCs w:val="21"/>
                <w:lang w:val="en-US" w:eastAsia="zh-CN" w:bidi="ar"/>
              </w:rPr>
              <w:t>（台州）</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1B8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公元ERA</w:t>
            </w:r>
            <w:r>
              <w:rPr>
                <w:rStyle w:val="18"/>
                <w:rFonts w:hint="eastAsia" w:ascii="宋体" w:hAnsi="宋体" w:eastAsia="宋体" w:cs="宋体"/>
                <w:b w:val="0"/>
                <w:bCs w:val="0"/>
                <w:sz w:val="21"/>
                <w:szCs w:val="21"/>
                <w:lang w:val="en-US" w:eastAsia="zh-CN" w:bidi="ar"/>
              </w:rPr>
              <w:t>（台州）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E4B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金德Ginde（沈阳）</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BD2D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上海白蝶（上海）</w:t>
            </w:r>
          </w:p>
        </w:tc>
      </w:tr>
      <w:tr w14:paraId="63D44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9948">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23</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903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洁具卫浴（含水龙头、角阀等各档配件）</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B34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TOTO（日本）</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699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KOHLER</w:t>
            </w:r>
            <w:r>
              <w:rPr>
                <w:rStyle w:val="18"/>
                <w:rFonts w:hint="eastAsia" w:ascii="宋体" w:hAnsi="宋体" w:eastAsia="宋体" w:cs="宋体"/>
                <w:b w:val="0"/>
                <w:bCs w:val="0"/>
                <w:sz w:val="21"/>
                <w:szCs w:val="21"/>
                <w:lang w:val="en-US" w:eastAsia="zh-CN" w:bidi="ar"/>
              </w:rPr>
              <w:t>科勒（美国）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1D71">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德国唯</w:t>
            </w:r>
            <w:bookmarkStart w:id="0" w:name="_GoBack"/>
            <w:bookmarkEnd w:id="0"/>
            <w:r>
              <w:rPr>
                <w:rFonts w:hint="eastAsia" w:ascii="宋体" w:hAnsi="宋体" w:eastAsia="宋体" w:cs="宋体"/>
                <w:b w:val="0"/>
                <w:bCs w:val="0"/>
                <w:i w:val="0"/>
                <w:iCs w:val="0"/>
                <w:color w:val="000000"/>
                <w:kern w:val="0"/>
                <w:sz w:val="21"/>
                <w:szCs w:val="21"/>
                <w:u w:val="none"/>
                <w:lang w:val="en-US" w:eastAsia="zh-CN" w:bidi="ar"/>
              </w:rPr>
              <w:t>宝</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8B7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71C8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p>
        </w:tc>
      </w:tr>
      <w:tr w14:paraId="637EC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10A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24</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7E04">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铝塑板</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BD25">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吉祥JYI SHYANG（上海）</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0351">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蓝天七色SEVEN（聊城）</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F9AD">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雅丽泰ALUTILE（南昌）</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B3FE7">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华尔泰HUAERTAI（东莞）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C793">
            <w:pPr>
              <w:jc w:val="center"/>
              <w:rPr>
                <w:rFonts w:hint="eastAsia" w:ascii="宋体" w:hAnsi="宋体" w:eastAsia="宋体" w:cs="宋体"/>
                <w:b w:val="0"/>
                <w:bCs w:val="0"/>
                <w:i w:val="0"/>
                <w:iCs w:val="0"/>
                <w:color w:val="000000"/>
                <w:sz w:val="21"/>
                <w:szCs w:val="21"/>
                <w:u w:val="none"/>
              </w:rPr>
            </w:pPr>
          </w:p>
        </w:tc>
      </w:tr>
      <w:tr w14:paraId="32230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0802">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25</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C71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换气扇、浴室风暖</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6E39">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奥普AUPU（杭州）</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E003">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欧普OPPLE（中山）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A587E">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雷士NVC（惠州）</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7935C">
            <w:pPr>
              <w:keepNext w:val="0"/>
              <w:keepLines w:val="0"/>
              <w:widowControl/>
              <w:suppressLineNumbers w:val="0"/>
              <w:ind w:left="0" w:leftChars="0" w:firstLine="0" w:firstLineChars="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美的MIDEA（佛山）</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5025">
            <w:pPr>
              <w:jc w:val="center"/>
              <w:rPr>
                <w:rFonts w:hint="eastAsia" w:ascii="宋体" w:hAnsi="宋体" w:eastAsia="宋体" w:cs="宋体"/>
                <w:b w:val="0"/>
                <w:bCs w:val="0"/>
                <w:i w:val="0"/>
                <w:iCs w:val="0"/>
                <w:color w:val="000000"/>
                <w:sz w:val="21"/>
                <w:szCs w:val="21"/>
                <w:u w:val="none"/>
              </w:rPr>
            </w:pPr>
          </w:p>
        </w:tc>
      </w:tr>
    </w:tbl>
    <w:p w14:paraId="0862E21E">
      <w:pPr>
        <w:widowControl/>
        <w:spacing w:line="400" w:lineRule="exact"/>
        <w:ind w:firstLine="420"/>
        <w:rPr>
          <w:rFonts w:ascii="宋体" w:hAnsi="宋体"/>
          <w:b/>
          <w:szCs w:val="21"/>
        </w:rPr>
      </w:pPr>
      <w:r>
        <w:rPr>
          <w:rFonts w:hint="eastAsia"/>
          <w:color w:val="000000"/>
        </w:rPr>
        <w:t>五、各费率取费表</w:t>
      </w:r>
    </w:p>
    <w:p w14:paraId="7DF4D4E7">
      <w:pPr>
        <w:autoSpaceDE w:val="0"/>
        <w:autoSpaceDN w:val="0"/>
        <w:adjustRightInd w:val="0"/>
        <w:spacing w:line="360" w:lineRule="auto"/>
        <w:ind w:firstLine="323" w:firstLineChars="147"/>
        <w:rPr>
          <w:rFonts w:hint="eastAsia" w:ascii="宋体" w:cs="宋体"/>
          <w:sz w:val="22"/>
          <w:szCs w:val="22"/>
        </w:rPr>
      </w:pPr>
      <w:r>
        <w:rPr>
          <w:rFonts w:hint="eastAsia" w:ascii="宋体" w:cs="宋体"/>
          <w:sz w:val="22"/>
          <w:szCs w:val="22"/>
        </w:rPr>
        <w:t>本工程税金及其他相关费率按非市区计取；安全文明施工费必须充分保证，建筑安</w:t>
      </w:r>
    </w:p>
    <w:p w14:paraId="1D4A6AA8">
      <w:pPr>
        <w:autoSpaceDE w:val="0"/>
        <w:autoSpaceDN w:val="0"/>
        <w:adjustRightInd w:val="0"/>
        <w:spacing w:line="360" w:lineRule="auto"/>
        <w:ind w:firstLine="323" w:firstLineChars="147"/>
        <w:rPr>
          <w:rFonts w:hint="eastAsia" w:ascii="宋体" w:cs="宋体"/>
          <w:sz w:val="22"/>
          <w:szCs w:val="22"/>
        </w:rPr>
      </w:pPr>
      <w:r>
        <w:rPr>
          <w:rFonts w:hint="eastAsia" w:ascii="宋体" w:cs="宋体"/>
          <w:sz w:val="22"/>
          <w:szCs w:val="22"/>
        </w:rPr>
        <w:t>装工程安全文明费不得低于建设行政主管部门颁发的费用定额规定的弹性费率下限和不得高于建设行政主管部门颁发的费用定额规定的弹性费率上限的计算值；</w:t>
      </w:r>
    </w:p>
    <w:tbl>
      <w:tblPr>
        <w:tblStyle w:val="5"/>
        <w:tblW w:w="832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7"/>
        <w:gridCol w:w="2056"/>
        <w:gridCol w:w="1896"/>
        <w:gridCol w:w="2025"/>
        <w:gridCol w:w="1500"/>
      </w:tblGrid>
      <w:tr w14:paraId="6AC30E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47" w:type="dxa"/>
            <w:tcBorders>
              <w:tl2br w:val="nil"/>
              <w:tr2bl w:val="nil"/>
            </w:tcBorders>
            <w:noWrap w:val="0"/>
            <w:vAlign w:val="center"/>
          </w:tcPr>
          <w:p w14:paraId="4A7B1614">
            <w:pPr>
              <w:autoSpaceDE w:val="0"/>
              <w:autoSpaceDN w:val="0"/>
              <w:adjustRightInd w:val="0"/>
              <w:spacing w:line="360" w:lineRule="auto"/>
              <w:ind w:firstLine="0" w:firstLineChars="0"/>
              <w:jc w:val="center"/>
              <w:rPr>
                <w:rFonts w:hint="eastAsia" w:ascii="宋体" w:cs="宋体"/>
                <w:sz w:val="22"/>
                <w:szCs w:val="22"/>
              </w:rPr>
            </w:pPr>
            <w:r>
              <w:rPr>
                <w:rFonts w:hint="eastAsia" w:ascii="宋体" w:cs="宋体"/>
                <w:sz w:val="22"/>
                <w:szCs w:val="22"/>
              </w:rPr>
              <w:t>序号</w:t>
            </w:r>
          </w:p>
        </w:tc>
        <w:tc>
          <w:tcPr>
            <w:tcW w:w="3952" w:type="dxa"/>
            <w:gridSpan w:val="2"/>
            <w:tcBorders>
              <w:tl2br w:val="nil"/>
              <w:tr2bl w:val="nil"/>
            </w:tcBorders>
            <w:noWrap w:val="0"/>
            <w:vAlign w:val="center"/>
          </w:tcPr>
          <w:p w14:paraId="3C020CF7">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项目名称</w:t>
            </w:r>
          </w:p>
        </w:tc>
        <w:tc>
          <w:tcPr>
            <w:tcW w:w="2025" w:type="dxa"/>
            <w:tcBorders>
              <w:tl2br w:val="nil"/>
              <w:tr2bl w:val="nil"/>
            </w:tcBorders>
            <w:noWrap w:val="0"/>
            <w:vAlign w:val="center"/>
          </w:tcPr>
          <w:p w14:paraId="7E999682">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计算基数</w:t>
            </w:r>
          </w:p>
        </w:tc>
        <w:tc>
          <w:tcPr>
            <w:tcW w:w="1500" w:type="dxa"/>
            <w:tcBorders>
              <w:tl2br w:val="nil"/>
              <w:tr2bl w:val="nil"/>
            </w:tcBorders>
            <w:noWrap w:val="0"/>
            <w:vAlign w:val="center"/>
          </w:tcPr>
          <w:p w14:paraId="7B1DB882">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费率（%）</w:t>
            </w:r>
          </w:p>
        </w:tc>
      </w:tr>
      <w:tr w14:paraId="66D476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4" w:hRule="atLeast"/>
          <w:jc w:val="center"/>
        </w:trPr>
        <w:tc>
          <w:tcPr>
            <w:tcW w:w="8324" w:type="dxa"/>
            <w:gridSpan w:val="5"/>
            <w:tcBorders>
              <w:tl2br w:val="nil"/>
              <w:tr2bl w:val="nil"/>
            </w:tcBorders>
            <w:noWrap w:val="0"/>
            <w:vAlign w:val="center"/>
          </w:tcPr>
          <w:p w14:paraId="66874C18">
            <w:pPr>
              <w:autoSpaceDE w:val="0"/>
              <w:autoSpaceDN w:val="0"/>
              <w:adjustRightInd w:val="0"/>
              <w:spacing w:line="360" w:lineRule="auto"/>
              <w:ind w:firstLine="323" w:firstLineChars="147"/>
              <w:jc w:val="center"/>
              <w:rPr>
                <w:rFonts w:hint="eastAsia" w:ascii="宋体" w:cs="宋体"/>
                <w:sz w:val="22"/>
                <w:szCs w:val="22"/>
              </w:rPr>
            </w:pPr>
          </w:p>
        </w:tc>
      </w:tr>
      <w:tr w14:paraId="2B5808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47" w:type="dxa"/>
            <w:vMerge w:val="restart"/>
            <w:tcBorders>
              <w:tl2br w:val="nil"/>
              <w:tr2bl w:val="nil"/>
            </w:tcBorders>
            <w:noWrap w:val="0"/>
            <w:vAlign w:val="center"/>
          </w:tcPr>
          <w:p w14:paraId="7D6A8865">
            <w:pPr>
              <w:tabs>
                <w:tab w:val="left" w:pos="694"/>
              </w:tabs>
              <w:autoSpaceDE w:val="0"/>
              <w:autoSpaceDN w:val="0"/>
              <w:adjustRightInd w:val="0"/>
              <w:spacing w:line="720" w:lineRule="auto"/>
              <w:ind w:left="0" w:leftChars="0" w:firstLine="0" w:firstLineChars="0"/>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w:t>
            </w:r>
          </w:p>
        </w:tc>
        <w:tc>
          <w:tcPr>
            <w:tcW w:w="2056" w:type="dxa"/>
            <w:vMerge w:val="restart"/>
            <w:tcBorders>
              <w:tl2br w:val="nil"/>
              <w:tr2bl w:val="nil"/>
            </w:tcBorders>
            <w:noWrap w:val="0"/>
            <w:vAlign w:val="center"/>
          </w:tcPr>
          <w:p w14:paraId="78BE112D">
            <w:pPr>
              <w:tabs>
                <w:tab w:val="left" w:pos="694"/>
              </w:tabs>
              <w:autoSpaceDE w:val="0"/>
              <w:autoSpaceDN w:val="0"/>
              <w:adjustRightInd w:val="0"/>
              <w:spacing w:line="720" w:lineRule="auto"/>
              <w:ind w:left="0" w:leftChars="0" w:firstLine="0" w:firstLineChars="0"/>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规费</w:t>
            </w:r>
          </w:p>
        </w:tc>
        <w:tc>
          <w:tcPr>
            <w:tcW w:w="1896" w:type="dxa"/>
            <w:tcBorders>
              <w:tl2br w:val="nil"/>
              <w:tr2bl w:val="nil"/>
            </w:tcBorders>
            <w:noWrap w:val="0"/>
            <w:vAlign w:val="center"/>
          </w:tcPr>
          <w:p w14:paraId="3EBF5A44">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安装工程</w:t>
            </w:r>
          </w:p>
        </w:tc>
        <w:tc>
          <w:tcPr>
            <w:tcW w:w="2025" w:type="dxa"/>
            <w:tcBorders>
              <w:tl2br w:val="nil"/>
              <w:tr2bl w:val="nil"/>
            </w:tcBorders>
            <w:noWrap w:val="0"/>
            <w:vAlign w:val="center"/>
          </w:tcPr>
          <w:p w14:paraId="12268955">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人工费+机械费</w:t>
            </w:r>
          </w:p>
        </w:tc>
        <w:tc>
          <w:tcPr>
            <w:tcW w:w="1500" w:type="dxa"/>
            <w:tcBorders>
              <w:tl2br w:val="nil"/>
              <w:tr2bl w:val="nil"/>
            </w:tcBorders>
            <w:noWrap w:val="0"/>
            <w:vAlign w:val="center"/>
          </w:tcPr>
          <w:p w14:paraId="1AD24223">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30.63</w:t>
            </w:r>
          </w:p>
        </w:tc>
      </w:tr>
      <w:tr w14:paraId="35C877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47" w:type="dxa"/>
            <w:vMerge w:val="continue"/>
            <w:tcBorders>
              <w:tl2br w:val="nil"/>
              <w:tr2bl w:val="nil"/>
            </w:tcBorders>
            <w:noWrap w:val="0"/>
            <w:vAlign w:val="center"/>
          </w:tcPr>
          <w:p w14:paraId="34E98225">
            <w:pPr>
              <w:autoSpaceDE w:val="0"/>
              <w:autoSpaceDN w:val="0"/>
              <w:adjustRightInd w:val="0"/>
              <w:spacing w:line="360" w:lineRule="auto"/>
              <w:ind w:firstLine="323" w:firstLineChars="147"/>
              <w:jc w:val="center"/>
              <w:rPr>
                <w:rFonts w:hint="eastAsia" w:ascii="宋体" w:cs="宋体"/>
                <w:sz w:val="22"/>
                <w:szCs w:val="22"/>
              </w:rPr>
            </w:pPr>
          </w:p>
        </w:tc>
        <w:tc>
          <w:tcPr>
            <w:tcW w:w="2056" w:type="dxa"/>
            <w:vMerge w:val="continue"/>
            <w:tcBorders>
              <w:tl2br w:val="nil"/>
              <w:tr2bl w:val="nil"/>
            </w:tcBorders>
            <w:noWrap w:val="0"/>
            <w:vAlign w:val="center"/>
          </w:tcPr>
          <w:p w14:paraId="25FF950A">
            <w:pPr>
              <w:autoSpaceDE w:val="0"/>
              <w:autoSpaceDN w:val="0"/>
              <w:adjustRightInd w:val="0"/>
              <w:spacing w:line="360" w:lineRule="auto"/>
              <w:ind w:firstLine="323" w:firstLineChars="147"/>
              <w:jc w:val="center"/>
              <w:rPr>
                <w:rFonts w:hint="eastAsia" w:ascii="宋体" w:cs="宋体"/>
                <w:sz w:val="22"/>
                <w:szCs w:val="22"/>
              </w:rPr>
            </w:pPr>
          </w:p>
        </w:tc>
        <w:tc>
          <w:tcPr>
            <w:tcW w:w="1896" w:type="dxa"/>
            <w:tcBorders>
              <w:tl2br w:val="nil"/>
              <w:tr2bl w:val="nil"/>
            </w:tcBorders>
            <w:shd w:val="clear" w:color="auto" w:fill="auto"/>
            <w:noWrap w:val="0"/>
            <w:vAlign w:val="center"/>
          </w:tcPr>
          <w:p w14:paraId="22B6DCC9">
            <w:pPr>
              <w:autoSpaceDE w:val="0"/>
              <w:autoSpaceDN w:val="0"/>
              <w:adjustRightInd w:val="0"/>
              <w:spacing w:line="360" w:lineRule="auto"/>
              <w:ind w:left="0" w:leftChars="0" w:firstLine="0" w:firstLineChars="0"/>
              <w:jc w:val="center"/>
              <w:rPr>
                <w:rFonts w:hint="eastAsia" w:ascii="宋体" w:hAnsi="Times New Roman" w:eastAsia="宋体" w:cs="宋体"/>
                <w:sz w:val="22"/>
                <w:szCs w:val="22"/>
                <w:lang w:val="en-US" w:eastAsia="zh-CN"/>
              </w:rPr>
            </w:pPr>
            <w:r>
              <w:rPr>
                <w:rFonts w:hint="eastAsia" w:ascii="宋体" w:hAnsi="Times New Roman" w:eastAsia="宋体" w:cs="宋体"/>
                <w:sz w:val="22"/>
                <w:szCs w:val="22"/>
                <w:lang w:val="en-US" w:eastAsia="zh-CN"/>
              </w:rPr>
              <w:t>房屋建筑与装饰</w:t>
            </w:r>
          </w:p>
        </w:tc>
        <w:tc>
          <w:tcPr>
            <w:tcW w:w="2025" w:type="dxa"/>
            <w:tcBorders>
              <w:tl2br w:val="nil"/>
              <w:tr2bl w:val="nil"/>
            </w:tcBorders>
            <w:shd w:val="clear" w:color="auto" w:fill="auto"/>
            <w:noWrap w:val="0"/>
            <w:vAlign w:val="center"/>
          </w:tcPr>
          <w:p w14:paraId="50DCE465">
            <w:pPr>
              <w:autoSpaceDE w:val="0"/>
              <w:autoSpaceDN w:val="0"/>
              <w:adjustRightInd w:val="0"/>
              <w:spacing w:line="360" w:lineRule="auto"/>
              <w:ind w:left="0" w:leftChars="0" w:firstLine="0" w:firstLineChars="0"/>
              <w:jc w:val="center"/>
              <w:rPr>
                <w:rFonts w:hint="eastAsia" w:ascii="宋体" w:hAnsi="Times New Roman" w:eastAsia="宋体" w:cs="宋体"/>
                <w:sz w:val="22"/>
                <w:szCs w:val="22"/>
                <w:lang w:val="en-US" w:eastAsia="zh-CN"/>
              </w:rPr>
            </w:pPr>
            <w:r>
              <w:rPr>
                <w:rFonts w:hint="eastAsia" w:ascii="宋体" w:hAnsi="Times New Roman" w:eastAsia="宋体" w:cs="宋体"/>
                <w:sz w:val="22"/>
                <w:szCs w:val="22"/>
              </w:rPr>
              <w:t>人工费+机械费</w:t>
            </w:r>
          </w:p>
        </w:tc>
        <w:tc>
          <w:tcPr>
            <w:tcW w:w="1500" w:type="dxa"/>
            <w:tcBorders>
              <w:tl2br w:val="nil"/>
              <w:tr2bl w:val="nil"/>
            </w:tcBorders>
            <w:shd w:val="clear" w:color="auto" w:fill="auto"/>
            <w:noWrap w:val="0"/>
            <w:vAlign w:val="center"/>
          </w:tcPr>
          <w:p w14:paraId="49390799">
            <w:pPr>
              <w:autoSpaceDE w:val="0"/>
              <w:autoSpaceDN w:val="0"/>
              <w:adjustRightInd w:val="0"/>
              <w:spacing w:line="360" w:lineRule="auto"/>
              <w:ind w:left="0" w:leftChars="0" w:firstLine="0" w:firstLineChars="0"/>
              <w:jc w:val="center"/>
              <w:rPr>
                <w:rFonts w:hint="default" w:ascii="宋体" w:hAnsi="Times New Roman" w:eastAsia="宋体" w:cs="宋体"/>
                <w:sz w:val="22"/>
                <w:szCs w:val="22"/>
                <w:lang w:val="en-US" w:eastAsia="zh-CN"/>
              </w:rPr>
            </w:pPr>
            <w:r>
              <w:rPr>
                <w:rFonts w:hint="eastAsia" w:ascii="宋体" w:cs="宋体"/>
                <w:sz w:val="22"/>
                <w:szCs w:val="22"/>
                <w:lang w:val="en-US" w:eastAsia="zh-CN"/>
              </w:rPr>
              <w:t>25.78</w:t>
            </w:r>
          </w:p>
        </w:tc>
      </w:tr>
      <w:tr w14:paraId="04C14D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47" w:type="dxa"/>
            <w:tcBorders>
              <w:tl2br w:val="nil"/>
              <w:tr2bl w:val="nil"/>
            </w:tcBorders>
            <w:noWrap w:val="0"/>
            <w:vAlign w:val="center"/>
          </w:tcPr>
          <w:p w14:paraId="3831A8DF">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2</w:t>
            </w:r>
          </w:p>
        </w:tc>
        <w:tc>
          <w:tcPr>
            <w:tcW w:w="5977" w:type="dxa"/>
            <w:gridSpan w:val="3"/>
            <w:tcBorders>
              <w:tl2br w:val="nil"/>
              <w:tr2bl w:val="nil"/>
            </w:tcBorders>
            <w:noWrap w:val="0"/>
            <w:vAlign w:val="center"/>
          </w:tcPr>
          <w:p w14:paraId="4F675DA5">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税金</w:t>
            </w:r>
          </w:p>
        </w:tc>
        <w:tc>
          <w:tcPr>
            <w:tcW w:w="1500" w:type="dxa"/>
            <w:tcBorders>
              <w:tl2br w:val="nil"/>
              <w:tr2bl w:val="nil"/>
            </w:tcBorders>
            <w:noWrap w:val="0"/>
            <w:vAlign w:val="center"/>
          </w:tcPr>
          <w:p w14:paraId="7833FF0D">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9</w:t>
            </w:r>
          </w:p>
        </w:tc>
      </w:tr>
      <w:tr w14:paraId="7EE01C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324" w:type="dxa"/>
            <w:gridSpan w:val="5"/>
            <w:tcBorders>
              <w:tl2br w:val="nil"/>
              <w:tr2bl w:val="nil"/>
            </w:tcBorders>
            <w:noWrap w:val="0"/>
            <w:vAlign w:val="center"/>
          </w:tcPr>
          <w:p w14:paraId="47E933B2">
            <w:pPr>
              <w:autoSpaceDE w:val="0"/>
              <w:autoSpaceDN w:val="0"/>
              <w:adjustRightInd w:val="0"/>
              <w:spacing w:line="360" w:lineRule="auto"/>
              <w:ind w:firstLine="323" w:firstLineChars="147"/>
              <w:jc w:val="center"/>
              <w:rPr>
                <w:rFonts w:hint="eastAsia" w:ascii="宋体" w:cs="宋体"/>
                <w:sz w:val="22"/>
                <w:szCs w:val="22"/>
              </w:rPr>
            </w:pPr>
            <w:r>
              <w:rPr>
                <w:rFonts w:hint="eastAsia" w:ascii="宋体" w:cs="宋体"/>
                <w:sz w:val="22"/>
                <w:szCs w:val="22"/>
              </w:rPr>
              <w:t>安全文明施工费</w:t>
            </w:r>
          </w:p>
        </w:tc>
      </w:tr>
      <w:tr w14:paraId="44F488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7" w:hRule="atLeast"/>
          <w:jc w:val="center"/>
        </w:trPr>
        <w:tc>
          <w:tcPr>
            <w:tcW w:w="847" w:type="dxa"/>
            <w:vMerge w:val="restart"/>
            <w:tcBorders>
              <w:tl2br w:val="nil"/>
              <w:tr2bl w:val="nil"/>
            </w:tcBorders>
            <w:noWrap w:val="0"/>
            <w:vAlign w:val="center"/>
          </w:tcPr>
          <w:p w14:paraId="550097D7">
            <w:pPr>
              <w:autoSpaceDE w:val="0"/>
              <w:autoSpaceDN w:val="0"/>
              <w:adjustRightInd w:val="0"/>
              <w:spacing w:line="720" w:lineRule="auto"/>
              <w:ind w:left="0" w:leftChars="0" w:firstLine="0" w:firstLineChars="0"/>
              <w:jc w:val="center"/>
              <w:rPr>
                <w:rFonts w:hint="eastAsia" w:ascii="宋体" w:hAnsi="Times New Roman" w:eastAsia="宋体" w:cs="宋体"/>
                <w:sz w:val="22"/>
                <w:szCs w:val="22"/>
              </w:rPr>
            </w:pPr>
            <w:r>
              <w:rPr>
                <w:rFonts w:hint="eastAsia" w:ascii="宋体" w:hAnsi="Times New Roman" w:eastAsia="宋体" w:cs="宋体"/>
                <w:sz w:val="22"/>
                <w:szCs w:val="22"/>
              </w:rPr>
              <w:t>3</w:t>
            </w:r>
          </w:p>
        </w:tc>
        <w:tc>
          <w:tcPr>
            <w:tcW w:w="2056" w:type="dxa"/>
            <w:tcBorders>
              <w:tl2br w:val="nil"/>
              <w:tr2bl w:val="nil"/>
            </w:tcBorders>
            <w:noWrap w:val="0"/>
            <w:vAlign w:val="center"/>
          </w:tcPr>
          <w:p w14:paraId="0D4E8739">
            <w:pPr>
              <w:autoSpaceDE w:val="0"/>
              <w:autoSpaceDN w:val="0"/>
              <w:adjustRightInd w:val="0"/>
              <w:spacing w:line="480" w:lineRule="auto"/>
              <w:ind w:left="0" w:leftChars="0" w:firstLine="0" w:firstLineChars="0"/>
              <w:jc w:val="center"/>
              <w:rPr>
                <w:rFonts w:hint="eastAsia" w:ascii="宋体" w:hAnsi="Times New Roman" w:eastAsia="宋体" w:cs="宋体"/>
                <w:sz w:val="22"/>
                <w:szCs w:val="22"/>
              </w:rPr>
            </w:pPr>
            <w:r>
              <w:rPr>
                <w:rFonts w:hint="eastAsia" w:ascii="宋体" w:hAnsi="Times New Roman" w:eastAsia="宋体" w:cs="宋体"/>
                <w:sz w:val="22"/>
                <w:szCs w:val="22"/>
              </w:rPr>
              <w:t>安装工程</w:t>
            </w:r>
          </w:p>
        </w:tc>
        <w:tc>
          <w:tcPr>
            <w:tcW w:w="1896" w:type="dxa"/>
            <w:tcBorders>
              <w:tl2br w:val="nil"/>
              <w:tr2bl w:val="nil"/>
            </w:tcBorders>
            <w:noWrap w:val="0"/>
            <w:vAlign w:val="center"/>
          </w:tcPr>
          <w:p w14:paraId="1C21C051">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非市区工程</w:t>
            </w:r>
          </w:p>
        </w:tc>
        <w:tc>
          <w:tcPr>
            <w:tcW w:w="2025" w:type="dxa"/>
            <w:tcBorders>
              <w:tl2br w:val="nil"/>
              <w:tr2bl w:val="nil"/>
            </w:tcBorders>
            <w:noWrap w:val="0"/>
            <w:vAlign w:val="center"/>
          </w:tcPr>
          <w:p w14:paraId="2D6960B1">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人工费+机械费</w:t>
            </w:r>
          </w:p>
        </w:tc>
        <w:tc>
          <w:tcPr>
            <w:tcW w:w="1500" w:type="dxa"/>
            <w:tcBorders>
              <w:tl2br w:val="nil"/>
              <w:tr2bl w:val="nil"/>
            </w:tcBorders>
            <w:noWrap w:val="0"/>
            <w:vAlign w:val="center"/>
          </w:tcPr>
          <w:p w14:paraId="4F435F72">
            <w:pPr>
              <w:autoSpaceDE w:val="0"/>
              <w:autoSpaceDN w:val="0"/>
              <w:adjustRightInd w:val="0"/>
              <w:spacing w:line="360" w:lineRule="auto"/>
              <w:ind w:left="0" w:leftChars="0" w:firstLine="0" w:firstLineChars="0"/>
              <w:jc w:val="center"/>
              <w:rPr>
                <w:rFonts w:hint="eastAsia" w:ascii="宋体" w:cs="宋体"/>
                <w:sz w:val="22"/>
                <w:szCs w:val="22"/>
              </w:rPr>
            </w:pPr>
            <w:r>
              <w:rPr>
                <w:rFonts w:hint="eastAsia" w:ascii="宋体" w:cs="宋体"/>
                <w:sz w:val="22"/>
                <w:szCs w:val="22"/>
              </w:rPr>
              <w:t>6.13~7.49</w:t>
            </w:r>
          </w:p>
        </w:tc>
      </w:tr>
      <w:tr w14:paraId="6BF18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47" w:type="dxa"/>
            <w:vMerge w:val="continue"/>
            <w:tcBorders>
              <w:tl2br w:val="nil"/>
              <w:tr2bl w:val="nil"/>
            </w:tcBorders>
            <w:noWrap w:val="0"/>
            <w:vAlign w:val="center"/>
          </w:tcPr>
          <w:p w14:paraId="175D6D0C">
            <w:pPr>
              <w:autoSpaceDE w:val="0"/>
              <w:autoSpaceDN w:val="0"/>
              <w:adjustRightInd w:val="0"/>
              <w:spacing w:line="360" w:lineRule="auto"/>
              <w:ind w:firstLine="323" w:firstLineChars="147"/>
              <w:jc w:val="center"/>
              <w:rPr>
                <w:rFonts w:hint="eastAsia" w:ascii="宋体" w:cs="宋体"/>
                <w:sz w:val="22"/>
                <w:szCs w:val="22"/>
              </w:rPr>
            </w:pPr>
          </w:p>
        </w:tc>
        <w:tc>
          <w:tcPr>
            <w:tcW w:w="2056" w:type="dxa"/>
            <w:tcBorders>
              <w:tl2br w:val="nil"/>
              <w:tr2bl w:val="nil"/>
            </w:tcBorders>
            <w:noWrap w:val="0"/>
            <w:vAlign w:val="center"/>
          </w:tcPr>
          <w:p w14:paraId="43BE922A">
            <w:pPr>
              <w:autoSpaceDE w:val="0"/>
              <w:autoSpaceDN w:val="0"/>
              <w:adjustRightInd w:val="0"/>
              <w:spacing w:line="360" w:lineRule="auto"/>
              <w:ind w:left="0" w:leftChars="0" w:firstLine="0" w:firstLineChars="0"/>
              <w:jc w:val="center"/>
              <w:rPr>
                <w:rFonts w:hint="eastAsia" w:ascii="宋体" w:eastAsia="宋体" w:cs="宋体"/>
                <w:sz w:val="22"/>
                <w:szCs w:val="22"/>
                <w:lang w:val="en-US" w:eastAsia="zh-CN"/>
              </w:rPr>
            </w:pPr>
            <w:r>
              <w:rPr>
                <w:rFonts w:hint="eastAsia" w:ascii="宋体" w:eastAsia="宋体" w:cs="宋体"/>
                <w:sz w:val="22"/>
                <w:szCs w:val="22"/>
                <w:lang w:val="en-US" w:eastAsia="zh-CN"/>
              </w:rPr>
              <w:t>房屋建筑与装饰</w:t>
            </w:r>
          </w:p>
        </w:tc>
        <w:tc>
          <w:tcPr>
            <w:tcW w:w="1896" w:type="dxa"/>
            <w:tcBorders>
              <w:tl2br w:val="nil"/>
              <w:tr2bl w:val="nil"/>
            </w:tcBorders>
            <w:shd w:val="clear" w:color="auto" w:fill="auto"/>
            <w:noWrap w:val="0"/>
            <w:vAlign w:val="center"/>
          </w:tcPr>
          <w:p w14:paraId="1CE354B7">
            <w:pPr>
              <w:autoSpaceDE w:val="0"/>
              <w:autoSpaceDN w:val="0"/>
              <w:adjustRightInd w:val="0"/>
              <w:spacing w:line="360" w:lineRule="auto"/>
              <w:ind w:left="0" w:leftChars="0" w:firstLine="0" w:firstLineChars="0"/>
              <w:jc w:val="center"/>
              <w:rPr>
                <w:rFonts w:hint="eastAsia" w:ascii="宋体" w:hAnsi="Times New Roman" w:eastAsia="宋体" w:cs="宋体"/>
                <w:sz w:val="22"/>
                <w:szCs w:val="22"/>
                <w:lang w:val="en-US" w:eastAsia="zh-CN"/>
              </w:rPr>
            </w:pPr>
            <w:r>
              <w:rPr>
                <w:rFonts w:hint="eastAsia" w:ascii="宋体" w:hAnsi="Times New Roman" w:eastAsia="宋体" w:cs="宋体"/>
                <w:sz w:val="22"/>
                <w:szCs w:val="22"/>
              </w:rPr>
              <w:t>非市区工程</w:t>
            </w:r>
          </w:p>
        </w:tc>
        <w:tc>
          <w:tcPr>
            <w:tcW w:w="2025" w:type="dxa"/>
            <w:tcBorders>
              <w:tl2br w:val="nil"/>
              <w:tr2bl w:val="nil"/>
            </w:tcBorders>
            <w:shd w:val="clear" w:color="auto" w:fill="auto"/>
            <w:noWrap w:val="0"/>
            <w:vAlign w:val="center"/>
          </w:tcPr>
          <w:p w14:paraId="41487AA1">
            <w:pPr>
              <w:autoSpaceDE w:val="0"/>
              <w:autoSpaceDN w:val="0"/>
              <w:adjustRightInd w:val="0"/>
              <w:spacing w:line="360" w:lineRule="auto"/>
              <w:ind w:left="0" w:leftChars="0" w:firstLine="0" w:firstLineChars="0"/>
              <w:jc w:val="center"/>
              <w:rPr>
                <w:rFonts w:hint="eastAsia" w:ascii="宋体" w:hAnsi="Times New Roman" w:eastAsia="宋体" w:cs="宋体"/>
                <w:sz w:val="22"/>
                <w:szCs w:val="22"/>
                <w:lang w:val="en-US" w:eastAsia="zh-CN"/>
              </w:rPr>
            </w:pPr>
            <w:r>
              <w:rPr>
                <w:rFonts w:hint="eastAsia" w:ascii="宋体" w:hAnsi="Times New Roman" w:eastAsia="宋体" w:cs="宋体"/>
                <w:sz w:val="22"/>
                <w:szCs w:val="22"/>
              </w:rPr>
              <w:t>人工费+机械费</w:t>
            </w:r>
          </w:p>
        </w:tc>
        <w:tc>
          <w:tcPr>
            <w:tcW w:w="1500" w:type="dxa"/>
            <w:tcBorders>
              <w:tl2br w:val="nil"/>
              <w:tr2bl w:val="nil"/>
            </w:tcBorders>
            <w:shd w:val="clear" w:color="auto" w:fill="auto"/>
            <w:noWrap w:val="0"/>
            <w:vAlign w:val="center"/>
          </w:tcPr>
          <w:p w14:paraId="089D5065">
            <w:pPr>
              <w:autoSpaceDE w:val="0"/>
              <w:autoSpaceDN w:val="0"/>
              <w:adjustRightInd w:val="0"/>
              <w:spacing w:line="360" w:lineRule="auto"/>
              <w:ind w:left="0" w:leftChars="0" w:firstLine="0" w:firstLineChars="0"/>
              <w:jc w:val="center"/>
              <w:rPr>
                <w:rFonts w:hint="default" w:ascii="宋体" w:hAnsi="Times New Roman" w:eastAsia="宋体" w:cs="宋体"/>
                <w:sz w:val="22"/>
                <w:szCs w:val="22"/>
                <w:lang w:val="en-US" w:eastAsia="zh-CN"/>
              </w:rPr>
            </w:pPr>
            <w:r>
              <w:rPr>
                <w:rFonts w:hint="eastAsia" w:ascii="宋体" w:cs="宋体"/>
                <w:color w:val="auto"/>
                <w:sz w:val="22"/>
                <w:szCs w:val="22"/>
                <w:lang w:val="en-US" w:eastAsia="zh-CN"/>
              </w:rPr>
              <w:t>8.21~10.03</w:t>
            </w:r>
          </w:p>
        </w:tc>
      </w:tr>
    </w:tbl>
    <w:p w14:paraId="2ED312B1">
      <w:pPr>
        <w:ind w:firstLine="420"/>
        <w:rPr>
          <w:rFonts w:hint="eastAsia"/>
        </w:rPr>
      </w:pPr>
    </w:p>
    <w:p w14:paraId="5E01C17E"/>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18CBC">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5BCF8">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3F44C">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BFF86">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0896">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DBB1">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A77F85"/>
    <w:rsid w:val="00155D9A"/>
    <w:rsid w:val="00901560"/>
    <w:rsid w:val="00AB00B0"/>
    <w:rsid w:val="00CC08DA"/>
    <w:rsid w:val="0203317A"/>
    <w:rsid w:val="02703F5D"/>
    <w:rsid w:val="032C2C4B"/>
    <w:rsid w:val="045004C9"/>
    <w:rsid w:val="04610526"/>
    <w:rsid w:val="04760B19"/>
    <w:rsid w:val="055B6DB1"/>
    <w:rsid w:val="05787DB2"/>
    <w:rsid w:val="058E1B7B"/>
    <w:rsid w:val="06747489"/>
    <w:rsid w:val="067D6438"/>
    <w:rsid w:val="068A7C7F"/>
    <w:rsid w:val="07625D42"/>
    <w:rsid w:val="08520C48"/>
    <w:rsid w:val="0AC961AB"/>
    <w:rsid w:val="0AED494C"/>
    <w:rsid w:val="0C3B0420"/>
    <w:rsid w:val="0C460001"/>
    <w:rsid w:val="0CC43313"/>
    <w:rsid w:val="0D1D175C"/>
    <w:rsid w:val="0D4760D9"/>
    <w:rsid w:val="0F3834F9"/>
    <w:rsid w:val="0F406B7F"/>
    <w:rsid w:val="10DB3A7A"/>
    <w:rsid w:val="12147E7E"/>
    <w:rsid w:val="12E314BA"/>
    <w:rsid w:val="12F30609"/>
    <w:rsid w:val="13940E1A"/>
    <w:rsid w:val="14012534"/>
    <w:rsid w:val="143445EC"/>
    <w:rsid w:val="14697A6C"/>
    <w:rsid w:val="14A44EB5"/>
    <w:rsid w:val="154F63C3"/>
    <w:rsid w:val="156C59C3"/>
    <w:rsid w:val="15FA6F2D"/>
    <w:rsid w:val="172C39CC"/>
    <w:rsid w:val="176E1192"/>
    <w:rsid w:val="1791713F"/>
    <w:rsid w:val="191E0395"/>
    <w:rsid w:val="19734F92"/>
    <w:rsid w:val="1B3745F0"/>
    <w:rsid w:val="1C4F4518"/>
    <w:rsid w:val="1CE858BD"/>
    <w:rsid w:val="1D9D666C"/>
    <w:rsid w:val="1F200FFA"/>
    <w:rsid w:val="1F8345C2"/>
    <w:rsid w:val="20651763"/>
    <w:rsid w:val="207C5491"/>
    <w:rsid w:val="21B82B7D"/>
    <w:rsid w:val="21E65B82"/>
    <w:rsid w:val="22343584"/>
    <w:rsid w:val="22C4635A"/>
    <w:rsid w:val="2382734A"/>
    <w:rsid w:val="24FC4977"/>
    <w:rsid w:val="262B64CE"/>
    <w:rsid w:val="26994FC5"/>
    <w:rsid w:val="269D4895"/>
    <w:rsid w:val="26D31EC8"/>
    <w:rsid w:val="270D6296"/>
    <w:rsid w:val="27A938A8"/>
    <w:rsid w:val="28C45948"/>
    <w:rsid w:val="2A021E21"/>
    <w:rsid w:val="2B803BF1"/>
    <w:rsid w:val="2BD73E59"/>
    <w:rsid w:val="2E931F8F"/>
    <w:rsid w:val="2FA7110D"/>
    <w:rsid w:val="30272414"/>
    <w:rsid w:val="30F307F7"/>
    <w:rsid w:val="32012804"/>
    <w:rsid w:val="33A77F85"/>
    <w:rsid w:val="34046CA9"/>
    <w:rsid w:val="3547014C"/>
    <w:rsid w:val="368114DD"/>
    <w:rsid w:val="370B5B85"/>
    <w:rsid w:val="379A6F4E"/>
    <w:rsid w:val="390A7E13"/>
    <w:rsid w:val="398117DE"/>
    <w:rsid w:val="3BE378E4"/>
    <w:rsid w:val="3DB86159"/>
    <w:rsid w:val="3E387031"/>
    <w:rsid w:val="3ED136CC"/>
    <w:rsid w:val="3EDF34E4"/>
    <w:rsid w:val="40BE2E8E"/>
    <w:rsid w:val="41FA2993"/>
    <w:rsid w:val="429D2439"/>
    <w:rsid w:val="42E82BA1"/>
    <w:rsid w:val="43861633"/>
    <w:rsid w:val="43E02B59"/>
    <w:rsid w:val="43F913E0"/>
    <w:rsid w:val="45DF0781"/>
    <w:rsid w:val="48277687"/>
    <w:rsid w:val="497F3E48"/>
    <w:rsid w:val="49F92315"/>
    <w:rsid w:val="4A0A4B3D"/>
    <w:rsid w:val="4D5F0656"/>
    <w:rsid w:val="4D99327A"/>
    <w:rsid w:val="4DC1641A"/>
    <w:rsid w:val="4FE76532"/>
    <w:rsid w:val="50585BB1"/>
    <w:rsid w:val="50EB58F2"/>
    <w:rsid w:val="5223138E"/>
    <w:rsid w:val="52C017AE"/>
    <w:rsid w:val="532B314A"/>
    <w:rsid w:val="555C7431"/>
    <w:rsid w:val="5622047C"/>
    <w:rsid w:val="56243F92"/>
    <w:rsid w:val="564F4F92"/>
    <w:rsid w:val="5785512D"/>
    <w:rsid w:val="57C45F88"/>
    <w:rsid w:val="57EC6C0A"/>
    <w:rsid w:val="5834378D"/>
    <w:rsid w:val="58580761"/>
    <w:rsid w:val="58780625"/>
    <w:rsid w:val="59512DEA"/>
    <w:rsid w:val="59FF0D46"/>
    <w:rsid w:val="5A932EA1"/>
    <w:rsid w:val="5AE35BA6"/>
    <w:rsid w:val="5B8E70F2"/>
    <w:rsid w:val="5C192985"/>
    <w:rsid w:val="5C947770"/>
    <w:rsid w:val="5CC4437F"/>
    <w:rsid w:val="5D140E85"/>
    <w:rsid w:val="5D364E8D"/>
    <w:rsid w:val="5E762184"/>
    <w:rsid w:val="5F36675D"/>
    <w:rsid w:val="5FF42682"/>
    <w:rsid w:val="60501295"/>
    <w:rsid w:val="614B76BF"/>
    <w:rsid w:val="615D7965"/>
    <w:rsid w:val="61C757E2"/>
    <w:rsid w:val="63AC1283"/>
    <w:rsid w:val="64465220"/>
    <w:rsid w:val="654E6D39"/>
    <w:rsid w:val="65647CE9"/>
    <w:rsid w:val="65CB699F"/>
    <w:rsid w:val="65D97277"/>
    <w:rsid w:val="662F7D99"/>
    <w:rsid w:val="66315D67"/>
    <w:rsid w:val="66A63204"/>
    <w:rsid w:val="66A91691"/>
    <w:rsid w:val="67441F6C"/>
    <w:rsid w:val="674E56CF"/>
    <w:rsid w:val="67FA51D7"/>
    <w:rsid w:val="6841625D"/>
    <w:rsid w:val="69B80270"/>
    <w:rsid w:val="6A767734"/>
    <w:rsid w:val="6B65735E"/>
    <w:rsid w:val="6B992859"/>
    <w:rsid w:val="6C345B60"/>
    <w:rsid w:val="6C517B8F"/>
    <w:rsid w:val="6C8454E8"/>
    <w:rsid w:val="6D0523BC"/>
    <w:rsid w:val="6D10249C"/>
    <w:rsid w:val="6DEA3B7D"/>
    <w:rsid w:val="6DEB2E74"/>
    <w:rsid w:val="6E13638F"/>
    <w:rsid w:val="6E2219EF"/>
    <w:rsid w:val="6E3936FC"/>
    <w:rsid w:val="6E454DAE"/>
    <w:rsid w:val="6E496BAF"/>
    <w:rsid w:val="6F227A08"/>
    <w:rsid w:val="6F890DA7"/>
    <w:rsid w:val="71022712"/>
    <w:rsid w:val="71682782"/>
    <w:rsid w:val="71BD2657"/>
    <w:rsid w:val="723F73FB"/>
    <w:rsid w:val="72942B9B"/>
    <w:rsid w:val="738C188E"/>
    <w:rsid w:val="74507280"/>
    <w:rsid w:val="749F3594"/>
    <w:rsid w:val="757434F8"/>
    <w:rsid w:val="75C353A2"/>
    <w:rsid w:val="76B971CB"/>
    <w:rsid w:val="77267A1A"/>
    <w:rsid w:val="77502529"/>
    <w:rsid w:val="775B68A7"/>
    <w:rsid w:val="78851175"/>
    <w:rsid w:val="78BD6F1E"/>
    <w:rsid w:val="79695A2F"/>
    <w:rsid w:val="7A0805FF"/>
    <w:rsid w:val="7A63452A"/>
    <w:rsid w:val="7AF00D46"/>
    <w:rsid w:val="7B6E54CF"/>
    <w:rsid w:val="7BAB16F2"/>
    <w:rsid w:val="7C535D97"/>
    <w:rsid w:val="7E124721"/>
    <w:rsid w:val="7E1413B3"/>
    <w:rsid w:val="7E302CA5"/>
    <w:rsid w:val="7E51214B"/>
    <w:rsid w:val="7E9B3FB1"/>
    <w:rsid w:val="7FAE7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51"/>
    <w:basedOn w:val="7"/>
    <w:qFormat/>
    <w:uiPriority w:val="0"/>
    <w:rPr>
      <w:rFonts w:hint="eastAsia" w:ascii="宋体" w:hAnsi="宋体" w:eastAsia="宋体" w:cs="宋体"/>
      <w:color w:val="FF0000"/>
      <w:sz w:val="21"/>
      <w:szCs w:val="21"/>
      <w:u w:val="none"/>
    </w:rPr>
  </w:style>
  <w:style w:type="character" w:customStyle="1" w:styleId="9">
    <w:name w:val="font161"/>
    <w:basedOn w:val="7"/>
    <w:qFormat/>
    <w:uiPriority w:val="0"/>
    <w:rPr>
      <w:rFonts w:hint="eastAsia" w:ascii="宋体" w:hAnsi="宋体" w:eastAsia="宋体" w:cs="宋体"/>
      <w:color w:val="FF0000"/>
      <w:sz w:val="16"/>
      <w:szCs w:val="16"/>
      <w:u w:val="none"/>
    </w:rPr>
  </w:style>
  <w:style w:type="character" w:customStyle="1" w:styleId="10">
    <w:name w:val="font171"/>
    <w:basedOn w:val="7"/>
    <w:qFormat/>
    <w:uiPriority w:val="0"/>
    <w:rPr>
      <w:rFonts w:ascii="Arial" w:hAnsi="Arial" w:cs="Arial"/>
      <w:b/>
      <w:bCs/>
      <w:color w:val="FF0000"/>
      <w:sz w:val="16"/>
      <w:szCs w:val="16"/>
      <w:u w:val="none"/>
    </w:rPr>
  </w:style>
  <w:style w:type="character" w:customStyle="1" w:styleId="11">
    <w:name w:val="font181"/>
    <w:basedOn w:val="7"/>
    <w:qFormat/>
    <w:uiPriority w:val="0"/>
    <w:rPr>
      <w:rFonts w:hint="default" w:ascii="Times New Roman" w:hAnsi="Times New Roman" w:cs="Times New Roman"/>
      <w:b/>
      <w:bCs/>
      <w:color w:val="FF0000"/>
      <w:sz w:val="16"/>
      <w:szCs w:val="16"/>
      <w:u w:val="none"/>
    </w:rPr>
  </w:style>
  <w:style w:type="character" w:customStyle="1" w:styleId="12">
    <w:name w:val="font191"/>
    <w:basedOn w:val="7"/>
    <w:qFormat/>
    <w:uiPriority w:val="0"/>
    <w:rPr>
      <w:rFonts w:hint="eastAsia" w:ascii="宋体" w:hAnsi="宋体" w:eastAsia="宋体" w:cs="宋体"/>
      <w:b/>
      <w:bCs/>
      <w:color w:val="FF0000"/>
      <w:sz w:val="16"/>
      <w:szCs w:val="16"/>
      <w:u w:val="none"/>
    </w:rPr>
  </w:style>
  <w:style w:type="character" w:customStyle="1" w:styleId="13">
    <w:name w:val="font71"/>
    <w:basedOn w:val="7"/>
    <w:qFormat/>
    <w:uiPriority w:val="0"/>
    <w:rPr>
      <w:rFonts w:hint="eastAsia" w:ascii="宋体" w:hAnsi="宋体" w:eastAsia="宋体" w:cs="宋体"/>
      <w:color w:val="FF0000"/>
      <w:sz w:val="16"/>
      <w:szCs w:val="16"/>
      <w:u w:val="none"/>
    </w:rPr>
  </w:style>
  <w:style w:type="character" w:customStyle="1" w:styleId="14">
    <w:name w:val="font61"/>
    <w:basedOn w:val="7"/>
    <w:qFormat/>
    <w:uiPriority w:val="0"/>
    <w:rPr>
      <w:rFonts w:hint="eastAsia" w:ascii="宋体" w:hAnsi="宋体" w:eastAsia="宋体" w:cs="宋体"/>
      <w:b/>
      <w:bCs/>
      <w:color w:val="FF0000"/>
      <w:sz w:val="16"/>
      <w:szCs w:val="16"/>
      <w:u w:val="none"/>
    </w:rPr>
  </w:style>
  <w:style w:type="character" w:customStyle="1" w:styleId="15">
    <w:name w:val="font81"/>
    <w:basedOn w:val="7"/>
    <w:qFormat/>
    <w:uiPriority w:val="0"/>
    <w:rPr>
      <w:rFonts w:ascii="Arial" w:hAnsi="Arial" w:cs="Arial"/>
      <w:b/>
      <w:bCs/>
      <w:color w:val="000000"/>
      <w:sz w:val="16"/>
      <w:szCs w:val="16"/>
      <w:u w:val="none"/>
    </w:rPr>
  </w:style>
  <w:style w:type="character" w:customStyle="1" w:styleId="16">
    <w:name w:val="font91"/>
    <w:basedOn w:val="7"/>
    <w:qFormat/>
    <w:uiPriority w:val="0"/>
    <w:rPr>
      <w:rFonts w:hint="default" w:ascii="Times New Roman" w:hAnsi="Times New Roman" w:cs="Times New Roman"/>
      <w:b/>
      <w:bCs/>
      <w:color w:val="000000"/>
      <w:sz w:val="16"/>
      <w:szCs w:val="16"/>
      <w:u w:val="none"/>
    </w:rPr>
  </w:style>
  <w:style w:type="character" w:customStyle="1" w:styleId="17">
    <w:name w:val="font101"/>
    <w:basedOn w:val="7"/>
    <w:qFormat/>
    <w:uiPriority w:val="0"/>
    <w:rPr>
      <w:rFonts w:hint="eastAsia" w:ascii="宋体" w:hAnsi="宋体" w:eastAsia="宋体" w:cs="宋体"/>
      <w:b/>
      <w:bCs/>
      <w:color w:val="000000"/>
      <w:sz w:val="16"/>
      <w:szCs w:val="16"/>
      <w:u w:val="none"/>
    </w:rPr>
  </w:style>
  <w:style w:type="character" w:customStyle="1" w:styleId="18">
    <w:name w:val="font51"/>
    <w:basedOn w:val="7"/>
    <w:qFormat/>
    <w:uiPriority w:val="0"/>
    <w:rPr>
      <w:rFonts w:hint="eastAsia" w:ascii="宋体" w:hAnsi="宋体" w:eastAsia="宋体" w:cs="宋体"/>
      <w:b/>
      <w:bCs/>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2561</Words>
  <Characters>2947</Characters>
  <Lines>0</Lines>
  <Paragraphs>0</Paragraphs>
  <TotalTime>16</TotalTime>
  <ScaleCrop>false</ScaleCrop>
  <LinksUpToDate>false</LinksUpToDate>
  <CharactersWithSpaces>2972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2025-03-18T02:40:00Z</dcterms:created>
  <dc:creator>徐彬</dc:creator>
  <cp:lastModifiedBy>jhyubyun</cp:lastModifiedBy>
  <cp:lastPrinted>2025-05-12T01:11:00Z</cp:lastPrinted>
  <dcterms:modified xsi:type="dcterms:W3CDTF">2025-07-08T09:32:51Z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eyJoZGlkIjoiYmYyYjNkMzY5MDliNTk0YzUzNWVlNWUxNzFlMDhkOWQiLCJ1c2VySWQiOiI2NTczODYxNzUifQ==</vt:lpwstr>
  </property>
  <property fmtid="{D5CDD505-2E9C-101B-9397-08002B2CF9AE}" pid="4" name="ICV">
    <vt:lpwstr>B392B2B6B11144D0BF7FB2882AB15DB8_13</vt:lpwstr>
  </property>
</Properties>
</file>